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FC299" w14:textId="77777777" w:rsidR="004975AB" w:rsidRDefault="004975AB" w:rsidP="00C611E5">
      <w:pPr>
        <w:jc w:val="center"/>
        <w:rPr>
          <w:rFonts w:ascii="Arial" w:hAnsi="Arial" w:cs="Arial"/>
          <w:sz w:val="40"/>
          <w:szCs w:val="40"/>
        </w:rPr>
      </w:pPr>
    </w:p>
    <w:p w14:paraId="31095474" w14:textId="67DAA9EE" w:rsidR="00424E93" w:rsidRDefault="00424E93" w:rsidP="00C611E5">
      <w:pPr>
        <w:jc w:val="center"/>
        <w:rPr>
          <w:rFonts w:ascii="Arial" w:hAnsi="Arial" w:cs="Arial"/>
          <w:sz w:val="40"/>
          <w:szCs w:val="40"/>
        </w:rPr>
      </w:pPr>
    </w:p>
    <w:p w14:paraId="4DF9BD0F" w14:textId="4AB60001" w:rsidR="00424E93" w:rsidRDefault="00A50D22" w:rsidP="00C611E5">
      <w:pPr>
        <w:jc w:val="center"/>
        <w:rPr>
          <w:rFonts w:ascii="Arial" w:hAnsi="Arial" w:cs="Arial"/>
          <w:sz w:val="40"/>
          <w:szCs w:val="40"/>
        </w:rPr>
      </w:pPr>
      <w:r w:rsidRPr="00C611E5">
        <w:rPr>
          <w:rFonts w:ascii="Arial" w:hAnsi="Arial" w:cs="Arial"/>
          <w:noProof/>
          <w:sz w:val="40"/>
          <w:szCs w:val="40"/>
          <w:lang w:eastAsia="en-GB"/>
        </w:rPr>
        <w:drawing>
          <wp:anchor distT="0" distB="0" distL="114300" distR="114300" simplePos="0" relativeHeight="251658240" behindDoc="1" locked="0" layoutInCell="1" allowOverlap="1" wp14:anchorId="2237BC88" wp14:editId="432AF975">
            <wp:simplePos x="0" y="0"/>
            <wp:positionH relativeFrom="margin">
              <wp:align>left</wp:align>
            </wp:positionH>
            <wp:positionV relativeFrom="paragraph">
              <wp:posOffset>400685</wp:posOffset>
            </wp:positionV>
            <wp:extent cx="3291840" cy="1645920"/>
            <wp:effectExtent l="0" t="0" r="3810" b="0"/>
            <wp:wrapTight wrapText="bothSides">
              <wp:wrapPolygon edited="0">
                <wp:start x="0" y="0"/>
                <wp:lineTo x="0" y="21250"/>
                <wp:lineTo x="21500" y="21250"/>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1840" cy="1645920"/>
                    </a:xfrm>
                    <a:prstGeom prst="rect">
                      <a:avLst/>
                    </a:prstGeom>
                    <a:noFill/>
                  </pic:spPr>
                </pic:pic>
              </a:graphicData>
            </a:graphic>
            <wp14:sizeRelH relativeFrom="page">
              <wp14:pctWidth>0</wp14:pctWidth>
            </wp14:sizeRelH>
            <wp14:sizeRelV relativeFrom="page">
              <wp14:pctHeight>0</wp14:pctHeight>
            </wp14:sizeRelV>
          </wp:anchor>
        </w:drawing>
      </w:r>
    </w:p>
    <w:p w14:paraId="00D6B6E7" w14:textId="40F2B447" w:rsidR="00424E93" w:rsidRPr="008B4CFE" w:rsidRDefault="00424E93" w:rsidP="00C611E5">
      <w:pPr>
        <w:jc w:val="center"/>
        <w:rPr>
          <w:rFonts w:cs="Arial"/>
        </w:rPr>
      </w:pPr>
    </w:p>
    <w:p w14:paraId="48337636" w14:textId="2E605EF0" w:rsidR="00290509" w:rsidRPr="00CD383D" w:rsidRDefault="00A50D22" w:rsidP="00C611E5">
      <w:pPr>
        <w:jc w:val="center"/>
        <w:rPr>
          <w:rFonts w:cs="Arial"/>
          <w:sz w:val="72"/>
          <w:szCs w:val="72"/>
        </w:rPr>
      </w:pPr>
      <w:r>
        <w:rPr>
          <w:noProof/>
        </w:rPr>
        <w:drawing>
          <wp:anchor distT="0" distB="0" distL="114300" distR="114300" simplePos="0" relativeHeight="251667456" behindDoc="1" locked="0" layoutInCell="1" allowOverlap="1" wp14:anchorId="5310928A" wp14:editId="57D817C7">
            <wp:simplePos x="0" y="0"/>
            <wp:positionH relativeFrom="column">
              <wp:posOffset>4404360</wp:posOffset>
            </wp:positionH>
            <wp:positionV relativeFrom="paragraph">
              <wp:posOffset>44450</wp:posOffset>
            </wp:positionV>
            <wp:extent cx="2217420" cy="1038860"/>
            <wp:effectExtent l="0" t="0" r="0" b="8890"/>
            <wp:wrapTight wrapText="bothSides">
              <wp:wrapPolygon edited="0">
                <wp:start x="0" y="0"/>
                <wp:lineTo x="0" y="21389"/>
                <wp:lineTo x="21340" y="21389"/>
                <wp:lineTo x="213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17420" cy="1038860"/>
                    </a:xfrm>
                    <a:prstGeom prst="rect">
                      <a:avLst/>
                    </a:prstGeom>
                  </pic:spPr>
                </pic:pic>
              </a:graphicData>
            </a:graphic>
            <wp14:sizeRelH relativeFrom="margin">
              <wp14:pctWidth>0</wp14:pctWidth>
            </wp14:sizeRelH>
            <wp14:sizeRelV relativeFrom="margin">
              <wp14:pctHeight>0</wp14:pctHeight>
            </wp14:sizeRelV>
          </wp:anchor>
        </w:drawing>
      </w:r>
    </w:p>
    <w:p w14:paraId="794ADB98" w14:textId="77777777" w:rsidR="00CD383D" w:rsidRDefault="00CD383D" w:rsidP="009C65C3">
      <w:pPr>
        <w:jc w:val="center"/>
        <w:rPr>
          <w:rFonts w:cs="Arial"/>
          <w:b/>
          <w:sz w:val="72"/>
          <w:szCs w:val="72"/>
          <w:u w:val="single"/>
        </w:rPr>
      </w:pPr>
    </w:p>
    <w:p w14:paraId="47D743B0" w14:textId="1C53F881" w:rsidR="00CD383D" w:rsidRDefault="00CD383D" w:rsidP="009C65C3">
      <w:pPr>
        <w:jc w:val="center"/>
        <w:rPr>
          <w:rFonts w:cs="Arial"/>
          <w:b/>
          <w:sz w:val="72"/>
          <w:szCs w:val="72"/>
          <w:u w:val="single"/>
        </w:rPr>
      </w:pPr>
    </w:p>
    <w:p w14:paraId="284C9F50" w14:textId="4C8BE86C" w:rsidR="00C618CE" w:rsidRDefault="00C618CE" w:rsidP="009C65C3">
      <w:pPr>
        <w:jc w:val="center"/>
        <w:rPr>
          <w:rFonts w:cs="Arial"/>
          <w:b/>
          <w:sz w:val="72"/>
          <w:szCs w:val="72"/>
          <w:u w:val="single"/>
        </w:rPr>
      </w:pPr>
    </w:p>
    <w:p w14:paraId="1E889AE1" w14:textId="77777777" w:rsidR="00CD383D" w:rsidRDefault="004E0157" w:rsidP="009C65C3">
      <w:pPr>
        <w:jc w:val="center"/>
        <w:rPr>
          <w:rFonts w:cs="Arial"/>
          <w:b/>
          <w:sz w:val="72"/>
          <w:szCs w:val="72"/>
          <w:u w:val="single"/>
        </w:rPr>
      </w:pPr>
      <w:r w:rsidRPr="00CD383D">
        <w:rPr>
          <w:rFonts w:cs="Arial"/>
          <w:b/>
          <w:sz w:val="72"/>
          <w:szCs w:val="72"/>
          <w:u w:val="single"/>
        </w:rPr>
        <w:t xml:space="preserve">SEND Report </w:t>
      </w:r>
      <w:r w:rsidR="00CD383D" w:rsidRPr="00CD383D">
        <w:rPr>
          <w:rFonts w:cs="Arial"/>
          <w:b/>
          <w:sz w:val="72"/>
          <w:szCs w:val="72"/>
          <w:u w:val="single"/>
        </w:rPr>
        <w:t xml:space="preserve">to Governors </w:t>
      </w:r>
      <w:proofErr w:type="spellStart"/>
      <w:r w:rsidR="00290509" w:rsidRPr="00CD383D">
        <w:rPr>
          <w:rFonts w:cs="Arial"/>
          <w:b/>
          <w:sz w:val="72"/>
          <w:szCs w:val="72"/>
          <w:u w:val="single"/>
        </w:rPr>
        <w:t>Holybrook</w:t>
      </w:r>
      <w:proofErr w:type="spellEnd"/>
      <w:r w:rsidR="00290509" w:rsidRPr="00CD383D">
        <w:rPr>
          <w:rFonts w:cs="Arial"/>
          <w:b/>
          <w:sz w:val="72"/>
          <w:szCs w:val="72"/>
          <w:u w:val="single"/>
        </w:rPr>
        <w:t xml:space="preserve"> </w:t>
      </w:r>
      <w:r w:rsidR="00CD383D">
        <w:rPr>
          <w:rFonts w:cs="Arial"/>
          <w:b/>
          <w:sz w:val="72"/>
          <w:szCs w:val="72"/>
          <w:u w:val="single"/>
        </w:rPr>
        <w:t>Primary School</w:t>
      </w:r>
    </w:p>
    <w:p w14:paraId="79AA62E8" w14:textId="20121D8B" w:rsidR="003202B1" w:rsidRDefault="0035245E" w:rsidP="009C65C3">
      <w:pPr>
        <w:jc w:val="center"/>
        <w:rPr>
          <w:rFonts w:cs="Arial"/>
          <w:b/>
          <w:sz w:val="72"/>
          <w:szCs w:val="72"/>
          <w:u w:val="single"/>
        </w:rPr>
      </w:pPr>
      <w:r>
        <w:rPr>
          <w:rFonts w:cs="Arial"/>
          <w:b/>
          <w:sz w:val="72"/>
          <w:szCs w:val="72"/>
          <w:u w:val="single"/>
        </w:rPr>
        <w:t>2020-21</w:t>
      </w:r>
    </w:p>
    <w:p w14:paraId="18A14ED4" w14:textId="77777777" w:rsidR="00CD383D" w:rsidRDefault="00CD383D" w:rsidP="009C65C3">
      <w:pPr>
        <w:jc w:val="center"/>
        <w:rPr>
          <w:rFonts w:cs="Arial"/>
          <w:b/>
          <w:sz w:val="72"/>
          <w:szCs w:val="72"/>
          <w:u w:val="single"/>
        </w:rPr>
      </w:pPr>
    </w:p>
    <w:p w14:paraId="7F59C7E5" w14:textId="77777777" w:rsidR="00CD383D" w:rsidRDefault="00CD383D" w:rsidP="009C65C3">
      <w:pPr>
        <w:jc w:val="center"/>
        <w:rPr>
          <w:rFonts w:cs="Arial"/>
          <w:b/>
          <w:sz w:val="72"/>
          <w:szCs w:val="72"/>
          <w:u w:val="single"/>
        </w:rPr>
      </w:pPr>
    </w:p>
    <w:p w14:paraId="325694D4" w14:textId="77777777" w:rsidR="00CD383D" w:rsidRDefault="00CD383D" w:rsidP="009C65C3">
      <w:pPr>
        <w:jc w:val="center"/>
        <w:rPr>
          <w:rFonts w:cs="Arial"/>
          <w:b/>
          <w:sz w:val="72"/>
          <w:szCs w:val="72"/>
          <w:u w:val="single"/>
        </w:rPr>
      </w:pPr>
    </w:p>
    <w:p w14:paraId="3E984D93" w14:textId="77777777" w:rsidR="00CD383D" w:rsidRDefault="00CD383D" w:rsidP="009C65C3">
      <w:pPr>
        <w:jc w:val="center"/>
        <w:rPr>
          <w:rFonts w:cs="Arial"/>
          <w:b/>
          <w:sz w:val="72"/>
          <w:szCs w:val="72"/>
          <w:u w:val="single"/>
        </w:rPr>
      </w:pPr>
    </w:p>
    <w:p w14:paraId="73E4E1F5" w14:textId="77777777" w:rsidR="00CD383D" w:rsidRDefault="00CD383D" w:rsidP="009867AD">
      <w:pPr>
        <w:rPr>
          <w:rFonts w:cs="Arial"/>
          <w:b/>
          <w:sz w:val="72"/>
          <w:szCs w:val="72"/>
          <w:u w:val="single"/>
        </w:rPr>
      </w:pPr>
    </w:p>
    <w:p w14:paraId="697B47DF" w14:textId="01FFE705" w:rsidR="00F46B2B" w:rsidRDefault="00F46B2B" w:rsidP="00F46B2B">
      <w:r>
        <w:lastRenderedPageBreak/>
        <w:t xml:space="preserve">The purpose of our school’s SEN Information report is to inform parents and carers about: </w:t>
      </w:r>
    </w:p>
    <w:p w14:paraId="2974B6E9" w14:textId="77777777" w:rsidR="00F46B2B" w:rsidRDefault="00F46B2B" w:rsidP="00F46B2B">
      <w:r>
        <w:t xml:space="preserve">● How we welcome into our school children with special educational needs and/or </w:t>
      </w:r>
      <w:proofErr w:type="gramStart"/>
      <w:r>
        <w:t>disabilities;</w:t>
      </w:r>
      <w:proofErr w:type="gramEnd"/>
      <w:r>
        <w:t xml:space="preserve"> </w:t>
      </w:r>
    </w:p>
    <w:p w14:paraId="0F4B51FF" w14:textId="77777777" w:rsidR="00F46B2B" w:rsidRDefault="00F46B2B" w:rsidP="00F46B2B">
      <w:r>
        <w:t xml:space="preserve">● How we support them in all aspects of school life and remove barriers to </w:t>
      </w:r>
      <w:proofErr w:type="gramStart"/>
      <w:r>
        <w:t>achievement;</w:t>
      </w:r>
      <w:proofErr w:type="gramEnd"/>
      <w:r>
        <w:t xml:space="preserve"> </w:t>
      </w:r>
    </w:p>
    <w:p w14:paraId="56886EA6" w14:textId="77777777" w:rsidR="00F46B2B" w:rsidRDefault="00F46B2B" w:rsidP="00F46B2B">
      <w:r>
        <w:t xml:space="preserve">● How we work in closer partnership with parents/carers and </w:t>
      </w:r>
      <w:proofErr w:type="gramStart"/>
      <w:r>
        <w:t>children;</w:t>
      </w:r>
      <w:proofErr w:type="gramEnd"/>
      <w:r>
        <w:t xml:space="preserve"> </w:t>
      </w:r>
    </w:p>
    <w:p w14:paraId="2EBD60E0" w14:textId="5085ECC8" w:rsidR="00CD383D" w:rsidRPr="00E3074E" w:rsidRDefault="00F46B2B" w:rsidP="00F46B2B">
      <w:pPr>
        <w:rPr>
          <w:rFonts w:cs="Arial"/>
          <w:b/>
          <w:sz w:val="24"/>
          <w:szCs w:val="24"/>
          <w:u w:val="single"/>
        </w:rPr>
      </w:pPr>
      <w:r>
        <w:t xml:space="preserve">● How we make effective provision for </w:t>
      </w:r>
      <w:proofErr w:type="gramStart"/>
      <w:r>
        <w:t>all of</w:t>
      </w:r>
      <w:proofErr w:type="gramEnd"/>
      <w:r>
        <w:t xml:space="preserve"> our children with special educational needs and disabilities - SENDD</w:t>
      </w:r>
    </w:p>
    <w:p w14:paraId="323A485E" w14:textId="77777777" w:rsidR="00D519CB" w:rsidRDefault="00D519CB" w:rsidP="003202B1">
      <w:pPr>
        <w:rPr>
          <w:rFonts w:cs="Arial"/>
        </w:rPr>
      </w:pPr>
    </w:p>
    <w:p w14:paraId="00F71392" w14:textId="25349C9F" w:rsidR="009867AD" w:rsidRPr="009867AD" w:rsidRDefault="009867AD" w:rsidP="00D73262">
      <w:pPr>
        <w:jc w:val="center"/>
        <w:rPr>
          <w:rFonts w:cs="Arial"/>
          <w:b/>
          <w:u w:val="single"/>
        </w:rPr>
      </w:pPr>
      <w:r w:rsidRPr="009867AD">
        <w:rPr>
          <w:rFonts w:cs="Arial"/>
          <w:b/>
          <w:u w:val="single"/>
        </w:rPr>
        <w:t xml:space="preserve">SEND at </w:t>
      </w:r>
      <w:proofErr w:type="spellStart"/>
      <w:r w:rsidRPr="009867AD">
        <w:rPr>
          <w:rFonts w:cs="Arial"/>
          <w:b/>
          <w:u w:val="single"/>
        </w:rPr>
        <w:t>Holybrook</w:t>
      </w:r>
      <w:proofErr w:type="spellEnd"/>
      <w:r w:rsidRPr="009867AD">
        <w:rPr>
          <w:rFonts w:cs="Arial"/>
          <w:b/>
          <w:u w:val="single"/>
        </w:rPr>
        <w:t xml:space="preserve"> Primary School</w:t>
      </w:r>
    </w:p>
    <w:p w14:paraId="21B67E37" w14:textId="7286F64D" w:rsidR="004975AB" w:rsidRPr="00F46B2B" w:rsidRDefault="00F46B2B" w:rsidP="008E5608">
      <w:pPr>
        <w:jc w:val="both"/>
        <w:rPr>
          <w:rFonts w:cs="Arial"/>
          <w:bCs/>
        </w:rPr>
      </w:pPr>
      <w:r w:rsidRPr="00F46B2B">
        <w:rPr>
          <w:rFonts w:cs="Arial"/>
          <w:bCs/>
        </w:rPr>
        <w:t>This is a breakdown, year</w:t>
      </w:r>
      <w:r>
        <w:rPr>
          <w:rFonts w:cs="Arial"/>
          <w:bCs/>
        </w:rPr>
        <w:t xml:space="preserve"> group</w:t>
      </w:r>
      <w:r w:rsidRPr="00F46B2B">
        <w:rPr>
          <w:rFonts w:cs="Arial"/>
          <w:bCs/>
        </w:rPr>
        <w:t xml:space="preserve"> by year</w:t>
      </w:r>
      <w:r>
        <w:rPr>
          <w:rFonts w:cs="Arial"/>
          <w:bCs/>
        </w:rPr>
        <w:t xml:space="preserve"> group</w:t>
      </w:r>
      <w:r w:rsidRPr="00F46B2B">
        <w:rPr>
          <w:rFonts w:cs="Arial"/>
          <w:bCs/>
        </w:rPr>
        <w:t xml:space="preserve">, of the numbers of pupils on our SEND register. </w:t>
      </w:r>
    </w:p>
    <w:tbl>
      <w:tblPr>
        <w:tblStyle w:val="TableGrid"/>
        <w:tblW w:w="10808" w:type="dxa"/>
        <w:tblInd w:w="-147" w:type="dxa"/>
        <w:tblLook w:val="04A0" w:firstRow="1" w:lastRow="0" w:firstColumn="1" w:lastColumn="0" w:noHBand="0" w:noVBand="1"/>
      </w:tblPr>
      <w:tblGrid>
        <w:gridCol w:w="1702"/>
        <w:gridCol w:w="1417"/>
        <w:gridCol w:w="1559"/>
        <w:gridCol w:w="1560"/>
        <w:gridCol w:w="1559"/>
        <w:gridCol w:w="1502"/>
        <w:gridCol w:w="1509"/>
      </w:tblGrid>
      <w:tr w:rsidR="0078198D" w:rsidRPr="008B4CFE" w14:paraId="70141C85" w14:textId="77777777" w:rsidTr="0078198D">
        <w:trPr>
          <w:trHeight w:val="309"/>
        </w:trPr>
        <w:tc>
          <w:tcPr>
            <w:tcW w:w="1702" w:type="dxa"/>
            <w:shd w:val="clear" w:color="auto" w:fill="DEEAF6" w:themeFill="accent1" w:themeFillTint="33"/>
          </w:tcPr>
          <w:p w14:paraId="7114C3F8" w14:textId="77777777" w:rsidR="0078198D" w:rsidRPr="00F46B2B" w:rsidRDefault="0078198D" w:rsidP="00680082">
            <w:pPr>
              <w:jc w:val="center"/>
              <w:rPr>
                <w:rFonts w:cs="Arial"/>
                <w:b/>
                <w:bCs/>
                <w:sz w:val="18"/>
                <w:szCs w:val="18"/>
              </w:rPr>
            </w:pPr>
            <w:r w:rsidRPr="00F46B2B">
              <w:rPr>
                <w:rFonts w:cs="Arial"/>
                <w:b/>
                <w:bCs/>
                <w:sz w:val="18"/>
                <w:szCs w:val="18"/>
              </w:rPr>
              <w:t>Year group</w:t>
            </w:r>
          </w:p>
        </w:tc>
        <w:tc>
          <w:tcPr>
            <w:tcW w:w="1417" w:type="dxa"/>
            <w:shd w:val="clear" w:color="auto" w:fill="DEEAF6" w:themeFill="accent1" w:themeFillTint="33"/>
          </w:tcPr>
          <w:p w14:paraId="44AEEB14" w14:textId="77777777" w:rsidR="0078198D" w:rsidRPr="00F46B2B" w:rsidRDefault="0078198D" w:rsidP="00680082">
            <w:pPr>
              <w:jc w:val="center"/>
              <w:rPr>
                <w:rFonts w:cs="Arial"/>
                <w:b/>
                <w:bCs/>
                <w:sz w:val="18"/>
                <w:szCs w:val="18"/>
              </w:rPr>
            </w:pPr>
            <w:r w:rsidRPr="00F46B2B">
              <w:rPr>
                <w:rFonts w:cs="Arial"/>
                <w:b/>
                <w:bCs/>
                <w:sz w:val="18"/>
                <w:szCs w:val="18"/>
              </w:rPr>
              <w:t>Number of children in class</w:t>
            </w:r>
          </w:p>
        </w:tc>
        <w:tc>
          <w:tcPr>
            <w:tcW w:w="1559" w:type="dxa"/>
            <w:shd w:val="clear" w:color="auto" w:fill="DEEAF6" w:themeFill="accent1" w:themeFillTint="33"/>
          </w:tcPr>
          <w:p w14:paraId="057D48BE" w14:textId="77777777" w:rsidR="0078198D" w:rsidRPr="00F46B2B" w:rsidRDefault="0078198D" w:rsidP="00680082">
            <w:pPr>
              <w:jc w:val="center"/>
              <w:rPr>
                <w:rFonts w:cs="Arial"/>
                <w:b/>
                <w:bCs/>
                <w:sz w:val="18"/>
                <w:szCs w:val="18"/>
              </w:rPr>
            </w:pPr>
            <w:r w:rsidRPr="00F46B2B">
              <w:rPr>
                <w:rFonts w:cs="Arial"/>
                <w:b/>
                <w:bCs/>
                <w:sz w:val="18"/>
                <w:szCs w:val="18"/>
              </w:rPr>
              <w:t>Number of children on SEND register</w:t>
            </w:r>
          </w:p>
        </w:tc>
        <w:tc>
          <w:tcPr>
            <w:tcW w:w="1560" w:type="dxa"/>
            <w:shd w:val="clear" w:color="auto" w:fill="DEEAF6" w:themeFill="accent1" w:themeFillTint="33"/>
          </w:tcPr>
          <w:p w14:paraId="325C58C5" w14:textId="5EAA65CF" w:rsidR="0078198D" w:rsidRPr="00F46B2B" w:rsidRDefault="0078198D" w:rsidP="00680082">
            <w:pPr>
              <w:jc w:val="center"/>
              <w:rPr>
                <w:rFonts w:cs="Arial"/>
                <w:b/>
                <w:bCs/>
                <w:sz w:val="18"/>
                <w:szCs w:val="18"/>
              </w:rPr>
            </w:pPr>
            <w:r w:rsidRPr="00F46B2B">
              <w:rPr>
                <w:rFonts w:cs="Arial"/>
                <w:b/>
                <w:bCs/>
                <w:sz w:val="18"/>
                <w:szCs w:val="18"/>
              </w:rPr>
              <w:t>Below Age Related Expectations</w:t>
            </w:r>
          </w:p>
          <w:p w14:paraId="1BC65CCE" w14:textId="77777777" w:rsidR="0078198D" w:rsidRPr="00F46B2B" w:rsidRDefault="0078198D" w:rsidP="00680082">
            <w:pPr>
              <w:jc w:val="center"/>
              <w:rPr>
                <w:rFonts w:cs="Arial"/>
                <w:b/>
                <w:bCs/>
                <w:sz w:val="18"/>
                <w:szCs w:val="18"/>
              </w:rPr>
            </w:pPr>
          </w:p>
        </w:tc>
        <w:tc>
          <w:tcPr>
            <w:tcW w:w="1559" w:type="dxa"/>
            <w:shd w:val="clear" w:color="auto" w:fill="DEEAF6" w:themeFill="accent1" w:themeFillTint="33"/>
          </w:tcPr>
          <w:p w14:paraId="23E2F925" w14:textId="4A1092BC" w:rsidR="0078198D" w:rsidRPr="00F46B2B" w:rsidRDefault="0078198D" w:rsidP="00680082">
            <w:pPr>
              <w:jc w:val="center"/>
              <w:rPr>
                <w:rFonts w:cs="Arial"/>
                <w:b/>
                <w:bCs/>
                <w:sz w:val="18"/>
                <w:szCs w:val="18"/>
              </w:rPr>
            </w:pPr>
            <w:r w:rsidRPr="00F46B2B">
              <w:rPr>
                <w:rFonts w:cs="Arial"/>
                <w:b/>
                <w:bCs/>
                <w:sz w:val="18"/>
                <w:szCs w:val="18"/>
              </w:rPr>
              <w:t xml:space="preserve">SEND Support  </w:t>
            </w:r>
          </w:p>
        </w:tc>
        <w:tc>
          <w:tcPr>
            <w:tcW w:w="1502" w:type="dxa"/>
            <w:shd w:val="clear" w:color="auto" w:fill="DEEAF6" w:themeFill="accent1" w:themeFillTint="33"/>
          </w:tcPr>
          <w:p w14:paraId="2D84BF3B" w14:textId="77777777" w:rsidR="0078198D" w:rsidRPr="00F46B2B" w:rsidRDefault="0078198D" w:rsidP="00680082">
            <w:pPr>
              <w:jc w:val="center"/>
              <w:rPr>
                <w:rFonts w:cs="Arial"/>
                <w:b/>
                <w:bCs/>
                <w:sz w:val="18"/>
                <w:szCs w:val="18"/>
              </w:rPr>
            </w:pPr>
            <w:r w:rsidRPr="00F46B2B">
              <w:rPr>
                <w:rFonts w:cs="Arial"/>
                <w:b/>
                <w:bCs/>
                <w:sz w:val="18"/>
                <w:szCs w:val="18"/>
              </w:rPr>
              <w:t>EHCNA agreed but plan not finalised</w:t>
            </w:r>
          </w:p>
        </w:tc>
        <w:tc>
          <w:tcPr>
            <w:tcW w:w="1509" w:type="dxa"/>
            <w:shd w:val="clear" w:color="auto" w:fill="DEEAF6" w:themeFill="accent1" w:themeFillTint="33"/>
          </w:tcPr>
          <w:p w14:paraId="58A9152C" w14:textId="77777777" w:rsidR="0078198D" w:rsidRPr="00F46B2B" w:rsidRDefault="0078198D" w:rsidP="00680082">
            <w:pPr>
              <w:jc w:val="center"/>
              <w:rPr>
                <w:rFonts w:cs="Arial"/>
                <w:b/>
                <w:bCs/>
                <w:sz w:val="18"/>
                <w:szCs w:val="18"/>
              </w:rPr>
            </w:pPr>
            <w:r w:rsidRPr="00F46B2B">
              <w:rPr>
                <w:rFonts w:cs="Arial"/>
                <w:b/>
                <w:bCs/>
                <w:sz w:val="18"/>
                <w:szCs w:val="18"/>
              </w:rPr>
              <w:t>EHCP</w:t>
            </w:r>
          </w:p>
          <w:p w14:paraId="699E118C" w14:textId="77777777" w:rsidR="0078198D" w:rsidRPr="00F46B2B" w:rsidRDefault="0078198D" w:rsidP="00680082">
            <w:pPr>
              <w:jc w:val="center"/>
              <w:rPr>
                <w:rFonts w:cs="Arial"/>
                <w:b/>
                <w:bCs/>
                <w:sz w:val="18"/>
                <w:szCs w:val="18"/>
              </w:rPr>
            </w:pPr>
            <w:r w:rsidRPr="00F46B2B">
              <w:rPr>
                <w:rFonts w:cs="Arial"/>
                <w:b/>
                <w:bCs/>
                <w:sz w:val="18"/>
                <w:szCs w:val="18"/>
              </w:rPr>
              <w:t>In place</w:t>
            </w:r>
          </w:p>
        </w:tc>
      </w:tr>
      <w:tr w:rsidR="0078198D" w:rsidRPr="008B4CFE" w14:paraId="22366347" w14:textId="77777777" w:rsidTr="0078198D">
        <w:trPr>
          <w:trHeight w:val="207"/>
        </w:trPr>
        <w:tc>
          <w:tcPr>
            <w:tcW w:w="1702" w:type="dxa"/>
            <w:shd w:val="clear" w:color="auto" w:fill="auto"/>
          </w:tcPr>
          <w:p w14:paraId="4E971366" w14:textId="483289B1" w:rsidR="0078198D" w:rsidRPr="008B4CFE" w:rsidRDefault="0078198D" w:rsidP="00680082">
            <w:pPr>
              <w:jc w:val="center"/>
              <w:rPr>
                <w:rFonts w:cs="Arial"/>
              </w:rPr>
            </w:pPr>
            <w:r w:rsidRPr="008B4CFE">
              <w:rPr>
                <w:rFonts w:cs="Arial"/>
              </w:rPr>
              <w:t>N</w:t>
            </w:r>
            <w:r>
              <w:rPr>
                <w:rFonts w:cs="Arial"/>
              </w:rPr>
              <w:t>ursery</w:t>
            </w:r>
          </w:p>
        </w:tc>
        <w:tc>
          <w:tcPr>
            <w:tcW w:w="1417" w:type="dxa"/>
            <w:shd w:val="clear" w:color="auto" w:fill="auto"/>
          </w:tcPr>
          <w:p w14:paraId="14D01E47" w14:textId="45565603" w:rsidR="0078198D" w:rsidRPr="00013CC6" w:rsidRDefault="0078198D" w:rsidP="00680082">
            <w:pPr>
              <w:jc w:val="center"/>
              <w:rPr>
                <w:rFonts w:cs="Arial"/>
              </w:rPr>
            </w:pPr>
            <w:r>
              <w:rPr>
                <w:rFonts w:cs="Arial"/>
              </w:rPr>
              <w:t>35</w:t>
            </w:r>
          </w:p>
        </w:tc>
        <w:tc>
          <w:tcPr>
            <w:tcW w:w="1559" w:type="dxa"/>
          </w:tcPr>
          <w:p w14:paraId="0F2644B1" w14:textId="4B204890" w:rsidR="0078198D" w:rsidRPr="008B4CFE" w:rsidRDefault="0078198D" w:rsidP="00680082">
            <w:pPr>
              <w:jc w:val="center"/>
              <w:rPr>
                <w:rFonts w:cs="Arial"/>
              </w:rPr>
            </w:pPr>
            <w:r>
              <w:rPr>
                <w:rFonts w:cs="Arial"/>
              </w:rPr>
              <w:t>7</w:t>
            </w:r>
          </w:p>
        </w:tc>
        <w:tc>
          <w:tcPr>
            <w:tcW w:w="1560" w:type="dxa"/>
          </w:tcPr>
          <w:p w14:paraId="4A25E4EF" w14:textId="013310C6" w:rsidR="0078198D" w:rsidRPr="008B4CFE" w:rsidRDefault="0078198D" w:rsidP="00680082">
            <w:pPr>
              <w:jc w:val="center"/>
              <w:rPr>
                <w:rFonts w:cs="Arial"/>
              </w:rPr>
            </w:pPr>
            <w:r>
              <w:rPr>
                <w:rFonts w:cs="Arial"/>
              </w:rPr>
              <w:t>5</w:t>
            </w:r>
          </w:p>
        </w:tc>
        <w:tc>
          <w:tcPr>
            <w:tcW w:w="1559" w:type="dxa"/>
          </w:tcPr>
          <w:p w14:paraId="2ACC8C3A" w14:textId="1DED3662" w:rsidR="0078198D" w:rsidRPr="008B4CFE" w:rsidRDefault="0078198D" w:rsidP="00680082">
            <w:pPr>
              <w:jc w:val="center"/>
              <w:rPr>
                <w:rFonts w:cs="Arial"/>
              </w:rPr>
            </w:pPr>
            <w:r>
              <w:rPr>
                <w:rFonts w:cs="Arial"/>
              </w:rPr>
              <w:t>2</w:t>
            </w:r>
          </w:p>
        </w:tc>
        <w:tc>
          <w:tcPr>
            <w:tcW w:w="1502" w:type="dxa"/>
          </w:tcPr>
          <w:p w14:paraId="34866090" w14:textId="77777777" w:rsidR="0078198D" w:rsidRPr="008B4CFE" w:rsidRDefault="0078198D" w:rsidP="00680082">
            <w:pPr>
              <w:jc w:val="center"/>
              <w:rPr>
                <w:rFonts w:cs="Arial"/>
              </w:rPr>
            </w:pPr>
          </w:p>
        </w:tc>
        <w:tc>
          <w:tcPr>
            <w:tcW w:w="1509" w:type="dxa"/>
          </w:tcPr>
          <w:p w14:paraId="223339A0" w14:textId="5737BDD1" w:rsidR="0078198D" w:rsidRPr="008B4CFE" w:rsidRDefault="0078198D" w:rsidP="00680082">
            <w:pPr>
              <w:jc w:val="center"/>
              <w:rPr>
                <w:rFonts w:cs="Arial"/>
              </w:rPr>
            </w:pPr>
            <w:r>
              <w:rPr>
                <w:rFonts w:cs="Arial"/>
              </w:rPr>
              <w:t>0</w:t>
            </w:r>
          </w:p>
        </w:tc>
      </w:tr>
      <w:tr w:rsidR="0078198D" w:rsidRPr="008B4CFE" w14:paraId="6A12FA05" w14:textId="77777777" w:rsidTr="0078198D">
        <w:trPr>
          <w:trHeight w:val="214"/>
        </w:trPr>
        <w:tc>
          <w:tcPr>
            <w:tcW w:w="1702" w:type="dxa"/>
          </w:tcPr>
          <w:p w14:paraId="1B8B5E75" w14:textId="57099E09" w:rsidR="0078198D" w:rsidRPr="008B4CFE" w:rsidRDefault="0078198D" w:rsidP="00680082">
            <w:pPr>
              <w:jc w:val="center"/>
              <w:rPr>
                <w:rFonts w:cs="Arial"/>
              </w:rPr>
            </w:pPr>
            <w:r>
              <w:rPr>
                <w:rFonts w:cs="Arial"/>
              </w:rPr>
              <w:t>Reception</w:t>
            </w:r>
          </w:p>
        </w:tc>
        <w:tc>
          <w:tcPr>
            <w:tcW w:w="1417" w:type="dxa"/>
            <w:shd w:val="clear" w:color="auto" w:fill="auto"/>
          </w:tcPr>
          <w:p w14:paraId="4CB362CE" w14:textId="166551E4" w:rsidR="0078198D" w:rsidRPr="00013CC6" w:rsidRDefault="0078198D" w:rsidP="00680082">
            <w:pPr>
              <w:jc w:val="center"/>
              <w:rPr>
                <w:rFonts w:cs="Arial"/>
              </w:rPr>
            </w:pPr>
            <w:r>
              <w:rPr>
                <w:rFonts w:cs="Arial"/>
              </w:rPr>
              <w:t>30</w:t>
            </w:r>
          </w:p>
        </w:tc>
        <w:tc>
          <w:tcPr>
            <w:tcW w:w="1559" w:type="dxa"/>
          </w:tcPr>
          <w:p w14:paraId="18E24A70" w14:textId="18151B4A" w:rsidR="0078198D" w:rsidRDefault="0078198D" w:rsidP="00680082">
            <w:pPr>
              <w:jc w:val="center"/>
              <w:rPr>
                <w:rFonts w:cs="Arial"/>
              </w:rPr>
            </w:pPr>
            <w:r>
              <w:rPr>
                <w:rFonts w:cs="Arial"/>
              </w:rPr>
              <w:t>8</w:t>
            </w:r>
          </w:p>
        </w:tc>
        <w:tc>
          <w:tcPr>
            <w:tcW w:w="1560" w:type="dxa"/>
          </w:tcPr>
          <w:p w14:paraId="3C4E56BF" w14:textId="4E216E51" w:rsidR="0078198D" w:rsidRDefault="0078198D" w:rsidP="00680082">
            <w:pPr>
              <w:jc w:val="center"/>
              <w:rPr>
                <w:rFonts w:cs="Arial"/>
              </w:rPr>
            </w:pPr>
            <w:r>
              <w:rPr>
                <w:rFonts w:cs="Arial"/>
              </w:rPr>
              <w:t>4</w:t>
            </w:r>
          </w:p>
        </w:tc>
        <w:tc>
          <w:tcPr>
            <w:tcW w:w="1559" w:type="dxa"/>
          </w:tcPr>
          <w:p w14:paraId="2462AFBC" w14:textId="7391F92E" w:rsidR="0078198D" w:rsidRDefault="0078198D" w:rsidP="00680082">
            <w:pPr>
              <w:jc w:val="center"/>
              <w:rPr>
                <w:rFonts w:cs="Arial"/>
              </w:rPr>
            </w:pPr>
            <w:r>
              <w:rPr>
                <w:rFonts w:cs="Arial"/>
              </w:rPr>
              <w:t>1</w:t>
            </w:r>
          </w:p>
        </w:tc>
        <w:tc>
          <w:tcPr>
            <w:tcW w:w="1502" w:type="dxa"/>
          </w:tcPr>
          <w:p w14:paraId="0B60DE5A" w14:textId="56CE6522" w:rsidR="0078198D" w:rsidRPr="008B4CFE" w:rsidRDefault="0078198D" w:rsidP="00680082">
            <w:pPr>
              <w:jc w:val="center"/>
              <w:rPr>
                <w:rFonts w:cs="Arial"/>
              </w:rPr>
            </w:pPr>
            <w:r>
              <w:rPr>
                <w:rFonts w:cs="Arial"/>
              </w:rPr>
              <w:t>1</w:t>
            </w:r>
          </w:p>
        </w:tc>
        <w:tc>
          <w:tcPr>
            <w:tcW w:w="1509" w:type="dxa"/>
          </w:tcPr>
          <w:p w14:paraId="1E3ECB89" w14:textId="470ABDB7" w:rsidR="0078198D" w:rsidRPr="008B4CFE" w:rsidRDefault="0078198D" w:rsidP="00680082">
            <w:pPr>
              <w:jc w:val="center"/>
              <w:rPr>
                <w:rFonts w:cs="Arial"/>
              </w:rPr>
            </w:pPr>
            <w:r>
              <w:rPr>
                <w:rFonts w:cs="Arial"/>
              </w:rPr>
              <w:t>2</w:t>
            </w:r>
          </w:p>
        </w:tc>
      </w:tr>
      <w:tr w:rsidR="0078198D" w:rsidRPr="008B4CFE" w14:paraId="3F830852" w14:textId="77777777" w:rsidTr="0078198D">
        <w:trPr>
          <w:trHeight w:val="214"/>
        </w:trPr>
        <w:tc>
          <w:tcPr>
            <w:tcW w:w="1702" w:type="dxa"/>
          </w:tcPr>
          <w:p w14:paraId="750E74F2" w14:textId="213EC701" w:rsidR="0078198D" w:rsidRPr="008B4CFE" w:rsidRDefault="0078198D" w:rsidP="00680082">
            <w:pPr>
              <w:jc w:val="center"/>
              <w:rPr>
                <w:rFonts w:cs="Arial"/>
              </w:rPr>
            </w:pPr>
            <w:r w:rsidRPr="008B4CFE">
              <w:rPr>
                <w:rFonts w:cs="Arial"/>
              </w:rPr>
              <w:t>Y</w:t>
            </w:r>
            <w:r>
              <w:rPr>
                <w:rFonts w:cs="Arial"/>
              </w:rPr>
              <w:t xml:space="preserve">ear </w:t>
            </w:r>
            <w:r w:rsidRPr="008B4CFE">
              <w:rPr>
                <w:rFonts w:cs="Arial"/>
              </w:rPr>
              <w:t>1</w:t>
            </w:r>
          </w:p>
        </w:tc>
        <w:tc>
          <w:tcPr>
            <w:tcW w:w="1417" w:type="dxa"/>
            <w:shd w:val="clear" w:color="auto" w:fill="auto"/>
          </w:tcPr>
          <w:p w14:paraId="46A94DAB" w14:textId="42137982" w:rsidR="0078198D" w:rsidRPr="00013CC6" w:rsidRDefault="0078198D" w:rsidP="00680082">
            <w:pPr>
              <w:jc w:val="center"/>
              <w:rPr>
                <w:rFonts w:cs="Arial"/>
              </w:rPr>
            </w:pPr>
            <w:r>
              <w:rPr>
                <w:rFonts w:cs="Arial"/>
              </w:rPr>
              <w:t>29</w:t>
            </w:r>
          </w:p>
        </w:tc>
        <w:tc>
          <w:tcPr>
            <w:tcW w:w="1559" w:type="dxa"/>
          </w:tcPr>
          <w:p w14:paraId="6815665F" w14:textId="7CC4B23B" w:rsidR="0078198D" w:rsidRPr="008B4CFE" w:rsidRDefault="0078198D" w:rsidP="002A4CBD">
            <w:pPr>
              <w:jc w:val="center"/>
              <w:rPr>
                <w:rFonts w:cs="Arial"/>
              </w:rPr>
            </w:pPr>
            <w:r>
              <w:rPr>
                <w:rFonts w:cs="Arial"/>
              </w:rPr>
              <w:t>8</w:t>
            </w:r>
          </w:p>
        </w:tc>
        <w:tc>
          <w:tcPr>
            <w:tcW w:w="1560" w:type="dxa"/>
          </w:tcPr>
          <w:p w14:paraId="18052EC5" w14:textId="77777777" w:rsidR="0078198D" w:rsidRPr="008B4CFE" w:rsidRDefault="0078198D" w:rsidP="00680082">
            <w:pPr>
              <w:jc w:val="center"/>
              <w:rPr>
                <w:rFonts w:cs="Arial"/>
              </w:rPr>
            </w:pPr>
            <w:r>
              <w:rPr>
                <w:rFonts w:cs="Arial"/>
              </w:rPr>
              <w:t>5</w:t>
            </w:r>
          </w:p>
        </w:tc>
        <w:tc>
          <w:tcPr>
            <w:tcW w:w="1559" w:type="dxa"/>
          </w:tcPr>
          <w:p w14:paraId="19DFF065" w14:textId="77777777" w:rsidR="0078198D" w:rsidRPr="008B4CFE" w:rsidRDefault="0078198D" w:rsidP="00680082">
            <w:pPr>
              <w:jc w:val="center"/>
              <w:rPr>
                <w:rFonts w:cs="Arial"/>
              </w:rPr>
            </w:pPr>
          </w:p>
        </w:tc>
        <w:tc>
          <w:tcPr>
            <w:tcW w:w="1502" w:type="dxa"/>
          </w:tcPr>
          <w:p w14:paraId="4B4ACD8B" w14:textId="5EA677F9" w:rsidR="0078198D" w:rsidRPr="008B4CFE" w:rsidRDefault="0078198D" w:rsidP="00680082">
            <w:pPr>
              <w:jc w:val="center"/>
              <w:rPr>
                <w:rFonts w:cs="Arial"/>
              </w:rPr>
            </w:pPr>
          </w:p>
        </w:tc>
        <w:tc>
          <w:tcPr>
            <w:tcW w:w="1509" w:type="dxa"/>
          </w:tcPr>
          <w:p w14:paraId="0FBC2278" w14:textId="1F172D76" w:rsidR="0078198D" w:rsidRPr="008B4CFE" w:rsidRDefault="0078198D" w:rsidP="00680082">
            <w:pPr>
              <w:jc w:val="center"/>
              <w:rPr>
                <w:rFonts w:cs="Arial"/>
              </w:rPr>
            </w:pPr>
            <w:r>
              <w:rPr>
                <w:rFonts w:cs="Arial"/>
              </w:rPr>
              <w:t>0</w:t>
            </w:r>
          </w:p>
        </w:tc>
      </w:tr>
      <w:tr w:rsidR="0078198D" w:rsidRPr="008B4CFE" w14:paraId="4B2C75C9" w14:textId="77777777" w:rsidTr="0078198D">
        <w:trPr>
          <w:trHeight w:val="207"/>
        </w:trPr>
        <w:tc>
          <w:tcPr>
            <w:tcW w:w="1702" w:type="dxa"/>
          </w:tcPr>
          <w:p w14:paraId="20E30A82" w14:textId="0EA49152" w:rsidR="0078198D" w:rsidRPr="008B4CFE" w:rsidRDefault="0078198D" w:rsidP="00680082">
            <w:pPr>
              <w:jc w:val="center"/>
              <w:rPr>
                <w:rFonts w:cs="Arial"/>
              </w:rPr>
            </w:pPr>
            <w:r w:rsidRPr="008B4CFE">
              <w:rPr>
                <w:rFonts w:cs="Arial"/>
              </w:rPr>
              <w:t>Y</w:t>
            </w:r>
            <w:r>
              <w:rPr>
                <w:rFonts w:cs="Arial"/>
              </w:rPr>
              <w:t xml:space="preserve">ear </w:t>
            </w:r>
            <w:r w:rsidRPr="008B4CFE">
              <w:rPr>
                <w:rFonts w:cs="Arial"/>
              </w:rPr>
              <w:t>2</w:t>
            </w:r>
          </w:p>
        </w:tc>
        <w:tc>
          <w:tcPr>
            <w:tcW w:w="1417" w:type="dxa"/>
            <w:shd w:val="clear" w:color="auto" w:fill="auto"/>
          </w:tcPr>
          <w:p w14:paraId="4116D31A" w14:textId="49A6CFE2" w:rsidR="0078198D" w:rsidRPr="00013CC6" w:rsidRDefault="0078198D" w:rsidP="00680082">
            <w:pPr>
              <w:jc w:val="center"/>
              <w:rPr>
                <w:rFonts w:cs="Arial"/>
              </w:rPr>
            </w:pPr>
            <w:r>
              <w:rPr>
                <w:rFonts w:cs="Arial"/>
              </w:rPr>
              <w:t>27</w:t>
            </w:r>
          </w:p>
        </w:tc>
        <w:tc>
          <w:tcPr>
            <w:tcW w:w="1559" w:type="dxa"/>
          </w:tcPr>
          <w:p w14:paraId="23AD56ED" w14:textId="20F68529" w:rsidR="0078198D" w:rsidRPr="008B4CFE" w:rsidRDefault="0078198D" w:rsidP="002A4CBD">
            <w:pPr>
              <w:jc w:val="center"/>
              <w:rPr>
                <w:rFonts w:cs="Arial"/>
              </w:rPr>
            </w:pPr>
            <w:r>
              <w:rPr>
                <w:rFonts w:cs="Arial"/>
              </w:rPr>
              <w:t>6</w:t>
            </w:r>
          </w:p>
        </w:tc>
        <w:tc>
          <w:tcPr>
            <w:tcW w:w="1560" w:type="dxa"/>
          </w:tcPr>
          <w:p w14:paraId="4BEC8AB4" w14:textId="2D5B7F8C" w:rsidR="0078198D" w:rsidRPr="008B4CFE" w:rsidRDefault="0078198D" w:rsidP="00680082">
            <w:pPr>
              <w:jc w:val="center"/>
              <w:rPr>
                <w:rFonts w:cs="Arial"/>
              </w:rPr>
            </w:pPr>
            <w:r>
              <w:rPr>
                <w:rFonts w:cs="Arial"/>
              </w:rPr>
              <w:t>4</w:t>
            </w:r>
          </w:p>
        </w:tc>
        <w:tc>
          <w:tcPr>
            <w:tcW w:w="1559" w:type="dxa"/>
          </w:tcPr>
          <w:p w14:paraId="4C91F59B" w14:textId="2A38E92A" w:rsidR="0078198D" w:rsidRPr="008B4CFE" w:rsidRDefault="0078198D" w:rsidP="00680082">
            <w:pPr>
              <w:jc w:val="center"/>
              <w:rPr>
                <w:rFonts w:cs="Arial"/>
              </w:rPr>
            </w:pPr>
            <w:r>
              <w:rPr>
                <w:rFonts w:cs="Arial"/>
              </w:rPr>
              <w:t>1</w:t>
            </w:r>
          </w:p>
        </w:tc>
        <w:tc>
          <w:tcPr>
            <w:tcW w:w="1502" w:type="dxa"/>
          </w:tcPr>
          <w:p w14:paraId="7BDFB8A6" w14:textId="77777777" w:rsidR="0078198D" w:rsidRPr="008B4CFE" w:rsidRDefault="0078198D" w:rsidP="00680082">
            <w:pPr>
              <w:jc w:val="center"/>
              <w:rPr>
                <w:rFonts w:cs="Arial"/>
              </w:rPr>
            </w:pPr>
          </w:p>
        </w:tc>
        <w:tc>
          <w:tcPr>
            <w:tcW w:w="1509" w:type="dxa"/>
          </w:tcPr>
          <w:p w14:paraId="50BBAEC4" w14:textId="77777777" w:rsidR="0078198D" w:rsidRPr="008B4CFE" w:rsidRDefault="0078198D" w:rsidP="00680082">
            <w:pPr>
              <w:jc w:val="center"/>
              <w:rPr>
                <w:rFonts w:cs="Arial"/>
              </w:rPr>
            </w:pPr>
            <w:r>
              <w:rPr>
                <w:rFonts w:cs="Arial"/>
              </w:rPr>
              <w:t>1</w:t>
            </w:r>
          </w:p>
        </w:tc>
      </w:tr>
      <w:tr w:rsidR="0078198D" w:rsidRPr="008B4CFE" w14:paraId="6905F214" w14:textId="77777777" w:rsidTr="0078198D">
        <w:trPr>
          <w:trHeight w:val="92"/>
        </w:trPr>
        <w:tc>
          <w:tcPr>
            <w:tcW w:w="1702" w:type="dxa"/>
          </w:tcPr>
          <w:p w14:paraId="03AF7F08" w14:textId="61B7F9FB" w:rsidR="0078198D" w:rsidRPr="008B4CFE" w:rsidRDefault="0078198D" w:rsidP="00680082">
            <w:pPr>
              <w:jc w:val="center"/>
              <w:rPr>
                <w:rFonts w:cs="Arial"/>
              </w:rPr>
            </w:pPr>
            <w:r w:rsidRPr="008B4CFE">
              <w:rPr>
                <w:rFonts w:cs="Arial"/>
              </w:rPr>
              <w:t>Y</w:t>
            </w:r>
            <w:r>
              <w:rPr>
                <w:rFonts w:cs="Arial"/>
              </w:rPr>
              <w:t xml:space="preserve">ear </w:t>
            </w:r>
            <w:r w:rsidRPr="008B4CFE">
              <w:rPr>
                <w:rFonts w:cs="Arial"/>
              </w:rPr>
              <w:t>3</w:t>
            </w:r>
          </w:p>
        </w:tc>
        <w:tc>
          <w:tcPr>
            <w:tcW w:w="1417" w:type="dxa"/>
            <w:shd w:val="clear" w:color="auto" w:fill="auto"/>
          </w:tcPr>
          <w:p w14:paraId="37B13111" w14:textId="13AB92B0" w:rsidR="0078198D" w:rsidRPr="00013CC6" w:rsidRDefault="0078198D" w:rsidP="00F46B2B">
            <w:pPr>
              <w:jc w:val="center"/>
              <w:rPr>
                <w:rFonts w:cs="Arial"/>
              </w:rPr>
            </w:pPr>
            <w:r>
              <w:rPr>
                <w:rFonts w:cs="Arial"/>
              </w:rPr>
              <w:t>29</w:t>
            </w:r>
          </w:p>
        </w:tc>
        <w:tc>
          <w:tcPr>
            <w:tcW w:w="1559" w:type="dxa"/>
          </w:tcPr>
          <w:p w14:paraId="23B41B0A" w14:textId="2C5F35F6" w:rsidR="0078198D" w:rsidRPr="00946075" w:rsidRDefault="0078198D" w:rsidP="002A4CBD">
            <w:pPr>
              <w:jc w:val="center"/>
              <w:rPr>
                <w:rFonts w:cs="Arial"/>
              </w:rPr>
            </w:pPr>
            <w:r>
              <w:rPr>
                <w:rFonts w:cs="Arial"/>
              </w:rPr>
              <w:t>6</w:t>
            </w:r>
          </w:p>
        </w:tc>
        <w:tc>
          <w:tcPr>
            <w:tcW w:w="1560" w:type="dxa"/>
          </w:tcPr>
          <w:p w14:paraId="4F7E1B82" w14:textId="378222C3" w:rsidR="0078198D" w:rsidRPr="00946075" w:rsidRDefault="0078198D" w:rsidP="00680082">
            <w:pPr>
              <w:jc w:val="center"/>
              <w:rPr>
                <w:rFonts w:cs="Arial"/>
              </w:rPr>
            </w:pPr>
            <w:r>
              <w:rPr>
                <w:rFonts w:cs="Arial"/>
              </w:rPr>
              <w:t>4</w:t>
            </w:r>
          </w:p>
        </w:tc>
        <w:tc>
          <w:tcPr>
            <w:tcW w:w="1559" w:type="dxa"/>
          </w:tcPr>
          <w:p w14:paraId="33F23201" w14:textId="6455B8C9" w:rsidR="0078198D" w:rsidRPr="00946075" w:rsidRDefault="0078198D" w:rsidP="00680082">
            <w:pPr>
              <w:jc w:val="center"/>
              <w:rPr>
                <w:rFonts w:cs="Arial"/>
              </w:rPr>
            </w:pPr>
          </w:p>
        </w:tc>
        <w:tc>
          <w:tcPr>
            <w:tcW w:w="1502" w:type="dxa"/>
          </w:tcPr>
          <w:p w14:paraId="406B5AE3" w14:textId="25A8FAB3" w:rsidR="0078198D" w:rsidRPr="00946075" w:rsidRDefault="0078198D" w:rsidP="00680082">
            <w:pPr>
              <w:jc w:val="center"/>
              <w:rPr>
                <w:rFonts w:cs="Arial"/>
              </w:rPr>
            </w:pPr>
            <w:r>
              <w:rPr>
                <w:rFonts w:cs="Arial"/>
              </w:rPr>
              <w:t>1</w:t>
            </w:r>
          </w:p>
        </w:tc>
        <w:tc>
          <w:tcPr>
            <w:tcW w:w="1509" w:type="dxa"/>
          </w:tcPr>
          <w:p w14:paraId="718A7DB8" w14:textId="77777777" w:rsidR="0078198D" w:rsidRPr="00946075" w:rsidRDefault="0078198D" w:rsidP="00680082">
            <w:pPr>
              <w:jc w:val="center"/>
              <w:rPr>
                <w:rFonts w:cs="Arial"/>
              </w:rPr>
            </w:pPr>
            <w:r>
              <w:rPr>
                <w:rFonts w:cs="Arial"/>
              </w:rPr>
              <w:t>1</w:t>
            </w:r>
          </w:p>
        </w:tc>
      </w:tr>
      <w:tr w:rsidR="0078198D" w:rsidRPr="008B4CFE" w14:paraId="33B49A1C" w14:textId="77777777" w:rsidTr="0078198D">
        <w:trPr>
          <w:trHeight w:val="92"/>
        </w:trPr>
        <w:tc>
          <w:tcPr>
            <w:tcW w:w="1702" w:type="dxa"/>
          </w:tcPr>
          <w:p w14:paraId="3DDDF692" w14:textId="75A714BB" w:rsidR="0078198D" w:rsidRPr="008B4CFE" w:rsidRDefault="0078198D" w:rsidP="00680082">
            <w:pPr>
              <w:jc w:val="center"/>
              <w:rPr>
                <w:rFonts w:cs="Arial"/>
              </w:rPr>
            </w:pPr>
            <w:r>
              <w:rPr>
                <w:rFonts w:cs="Arial"/>
              </w:rPr>
              <w:t>Year 3 Horizons</w:t>
            </w:r>
          </w:p>
        </w:tc>
        <w:tc>
          <w:tcPr>
            <w:tcW w:w="1417" w:type="dxa"/>
            <w:shd w:val="clear" w:color="auto" w:fill="auto"/>
          </w:tcPr>
          <w:p w14:paraId="0749150F" w14:textId="21CF055B" w:rsidR="0078198D" w:rsidRDefault="0078198D" w:rsidP="00680082">
            <w:pPr>
              <w:jc w:val="center"/>
              <w:rPr>
                <w:rFonts w:cs="Arial"/>
              </w:rPr>
            </w:pPr>
            <w:r>
              <w:rPr>
                <w:rFonts w:cs="Arial"/>
              </w:rPr>
              <w:t>1</w:t>
            </w:r>
          </w:p>
        </w:tc>
        <w:tc>
          <w:tcPr>
            <w:tcW w:w="1559" w:type="dxa"/>
          </w:tcPr>
          <w:p w14:paraId="19B9A802" w14:textId="4C63AAC2" w:rsidR="0078198D" w:rsidRDefault="0078198D" w:rsidP="002A4CBD">
            <w:pPr>
              <w:jc w:val="center"/>
              <w:rPr>
                <w:rFonts w:cs="Arial"/>
              </w:rPr>
            </w:pPr>
            <w:r>
              <w:rPr>
                <w:rFonts w:cs="Arial"/>
              </w:rPr>
              <w:t>1</w:t>
            </w:r>
          </w:p>
        </w:tc>
        <w:tc>
          <w:tcPr>
            <w:tcW w:w="1560" w:type="dxa"/>
          </w:tcPr>
          <w:p w14:paraId="026F1A1D" w14:textId="77777777" w:rsidR="0078198D" w:rsidRDefault="0078198D" w:rsidP="00680082">
            <w:pPr>
              <w:jc w:val="center"/>
              <w:rPr>
                <w:rFonts w:cs="Arial"/>
              </w:rPr>
            </w:pPr>
          </w:p>
        </w:tc>
        <w:tc>
          <w:tcPr>
            <w:tcW w:w="1559" w:type="dxa"/>
          </w:tcPr>
          <w:p w14:paraId="7B4985A6" w14:textId="77777777" w:rsidR="0078198D" w:rsidRDefault="0078198D" w:rsidP="00680082">
            <w:pPr>
              <w:jc w:val="center"/>
              <w:rPr>
                <w:rFonts w:cs="Arial"/>
              </w:rPr>
            </w:pPr>
          </w:p>
        </w:tc>
        <w:tc>
          <w:tcPr>
            <w:tcW w:w="1502" w:type="dxa"/>
          </w:tcPr>
          <w:p w14:paraId="67DBFC27" w14:textId="77777777" w:rsidR="0078198D" w:rsidRPr="00946075" w:rsidRDefault="0078198D" w:rsidP="00680082">
            <w:pPr>
              <w:jc w:val="center"/>
              <w:rPr>
                <w:rFonts w:cs="Arial"/>
              </w:rPr>
            </w:pPr>
          </w:p>
        </w:tc>
        <w:tc>
          <w:tcPr>
            <w:tcW w:w="1509" w:type="dxa"/>
          </w:tcPr>
          <w:p w14:paraId="7D655681" w14:textId="170AD8D6" w:rsidR="0078198D" w:rsidRDefault="0078198D" w:rsidP="00680082">
            <w:pPr>
              <w:jc w:val="center"/>
              <w:rPr>
                <w:rFonts w:cs="Arial"/>
              </w:rPr>
            </w:pPr>
            <w:r>
              <w:rPr>
                <w:rFonts w:cs="Arial"/>
              </w:rPr>
              <w:t>1</w:t>
            </w:r>
          </w:p>
        </w:tc>
      </w:tr>
      <w:tr w:rsidR="0078198D" w:rsidRPr="008B4CFE" w14:paraId="5B2F1355" w14:textId="77777777" w:rsidTr="0078198D">
        <w:trPr>
          <w:trHeight w:val="207"/>
        </w:trPr>
        <w:tc>
          <w:tcPr>
            <w:tcW w:w="1702" w:type="dxa"/>
          </w:tcPr>
          <w:p w14:paraId="2424DB62" w14:textId="6678C2B7" w:rsidR="0078198D" w:rsidRPr="008B4CFE" w:rsidRDefault="0078198D" w:rsidP="00680082">
            <w:pPr>
              <w:jc w:val="center"/>
              <w:rPr>
                <w:rFonts w:cs="Arial"/>
              </w:rPr>
            </w:pPr>
            <w:r w:rsidRPr="008B4CFE">
              <w:rPr>
                <w:rFonts w:cs="Arial"/>
              </w:rPr>
              <w:t>Y</w:t>
            </w:r>
            <w:r>
              <w:rPr>
                <w:rFonts w:cs="Arial"/>
              </w:rPr>
              <w:t xml:space="preserve">ear </w:t>
            </w:r>
            <w:r w:rsidRPr="008B4CFE">
              <w:rPr>
                <w:rFonts w:cs="Arial"/>
              </w:rPr>
              <w:t>4</w:t>
            </w:r>
          </w:p>
        </w:tc>
        <w:tc>
          <w:tcPr>
            <w:tcW w:w="1417" w:type="dxa"/>
            <w:shd w:val="clear" w:color="auto" w:fill="auto"/>
          </w:tcPr>
          <w:p w14:paraId="35010A94" w14:textId="2D1C9039" w:rsidR="0078198D" w:rsidRPr="00013CC6" w:rsidRDefault="0078198D" w:rsidP="00680082">
            <w:pPr>
              <w:jc w:val="center"/>
              <w:rPr>
                <w:rFonts w:cs="Arial"/>
              </w:rPr>
            </w:pPr>
            <w:r>
              <w:rPr>
                <w:rFonts w:cs="Arial"/>
              </w:rPr>
              <w:t>31</w:t>
            </w:r>
          </w:p>
        </w:tc>
        <w:tc>
          <w:tcPr>
            <w:tcW w:w="1559" w:type="dxa"/>
          </w:tcPr>
          <w:p w14:paraId="03FFB0A7" w14:textId="5BA5DD75" w:rsidR="0078198D" w:rsidRPr="008B4CFE" w:rsidRDefault="0078198D" w:rsidP="002A4CBD">
            <w:pPr>
              <w:jc w:val="center"/>
              <w:rPr>
                <w:rFonts w:cs="Arial"/>
              </w:rPr>
            </w:pPr>
            <w:r>
              <w:rPr>
                <w:rFonts w:cs="Arial"/>
              </w:rPr>
              <w:t>7</w:t>
            </w:r>
          </w:p>
        </w:tc>
        <w:tc>
          <w:tcPr>
            <w:tcW w:w="1560" w:type="dxa"/>
          </w:tcPr>
          <w:p w14:paraId="0328A4D4" w14:textId="3B2C05DF" w:rsidR="0078198D" w:rsidRPr="008B4CFE" w:rsidRDefault="0078198D" w:rsidP="00680082">
            <w:pPr>
              <w:jc w:val="center"/>
              <w:rPr>
                <w:rFonts w:cs="Arial"/>
              </w:rPr>
            </w:pPr>
            <w:r>
              <w:rPr>
                <w:rFonts w:cs="Arial"/>
              </w:rPr>
              <w:t>4</w:t>
            </w:r>
          </w:p>
        </w:tc>
        <w:tc>
          <w:tcPr>
            <w:tcW w:w="1559" w:type="dxa"/>
          </w:tcPr>
          <w:p w14:paraId="4948084C" w14:textId="77777777" w:rsidR="0078198D" w:rsidRPr="008B4CFE" w:rsidRDefault="0078198D" w:rsidP="00680082">
            <w:pPr>
              <w:jc w:val="center"/>
              <w:rPr>
                <w:rFonts w:cs="Arial"/>
              </w:rPr>
            </w:pPr>
            <w:r>
              <w:rPr>
                <w:rFonts w:cs="Arial"/>
              </w:rPr>
              <w:t>1</w:t>
            </w:r>
          </w:p>
        </w:tc>
        <w:tc>
          <w:tcPr>
            <w:tcW w:w="1502" w:type="dxa"/>
          </w:tcPr>
          <w:p w14:paraId="393A4EEE" w14:textId="33556838" w:rsidR="0078198D" w:rsidRPr="008B4CFE" w:rsidRDefault="0078198D" w:rsidP="00680082">
            <w:pPr>
              <w:jc w:val="center"/>
              <w:rPr>
                <w:rFonts w:cs="Arial"/>
              </w:rPr>
            </w:pPr>
          </w:p>
        </w:tc>
        <w:tc>
          <w:tcPr>
            <w:tcW w:w="1509" w:type="dxa"/>
          </w:tcPr>
          <w:p w14:paraId="0CF2D702" w14:textId="77777777" w:rsidR="0078198D" w:rsidRPr="008B4CFE" w:rsidRDefault="0078198D" w:rsidP="00680082">
            <w:pPr>
              <w:jc w:val="center"/>
              <w:rPr>
                <w:rFonts w:cs="Arial"/>
              </w:rPr>
            </w:pPr>
            <w:r>
              <w:rPr>
                <w:rFonts w:cs="Arial"/>
              </w:rPr>
              <w:t>2</w:t>
            </w:r>
          </w:p>
        </w:tc>
      </w:tr>
      <w:tr w:rsidR="0078198D" w:rsidRPr="008B4CFE" w14:paraId="5AD4C151" w14:textId="77777777" w:rsidTr="0078198D">
        <w:trPr>
          <w:trHeight w:val="207"/>
        </w:trPr>
        <w:tc>
          <w:tcPr>
            <w:tcW w:w="1702" w:type="dxa"/>
          </w:tcPr>
          <w:p w14:paraId="527586AA" w14:textId="2F896C1C" w:rsidR="0078198D" w:rsidRPr="008B4CFE" w:rsidRDefault="0078198D" w:rsidP="00680082">
            <w:pPr>
              <w:jc w:val="center"/>
              <w:rPr>
                <w:rFonts w:cs="Arial"/>
              </w:rPr>
            </w:pPr>
            <w:r>
              <w:rPr>
                <w:rFonts w:cs="Arial"/>
              </w:rPr>
              <w:t>Year 4 Horizons</w:t>
            </w:r>
          </w:p>
        </w:tc>
        <w:tc>
          <w:tcPr>
            <w:tcW w:w="1417" w:type="dxa"/>
            <w:shd w:val="clear" w:color="auto" w:fill="auto"/>
          </w:tcPr>
          <w:p w14:paraId="01BC123C" w14:textId="3BD5A9C2" w:rsidR="0078198D" w:rsidRDefault="0078198D" w:rsidP="00680082">
            <w:pPr>
              <w:jc w:val="center"/>
              <w:rPr>
                <w:rFonts w:cs="Arial"/>
              </w:rPr>
            </w:pPr>
            <w:r>
              <w:rPr>
                <w:rFonts w:cs="Arial"/>
              </w:rPr>
              <w:t>2</w:t>
            </w:r>
          </w:p>
        </w:tc>
        <w:tc>
          <w:tcPr>
            <w:tcW w:w="1559" w:type="dxa"/>
          </w:tcPr>
          <w:p w14:paraId="27143F8C" w14:textId="36469234" w:rsidR="0078198D" w:rsidRDefault="0078198D" w:rsidP="002A4CBD">
            <w:pPr>
              <w:jc w:val="center"/>
              <w:rPr>
                <w:rFonts w:cs="Arial"/>
              </w:rPr>
            </w:pPr>
            <w:r>
              <w:rPr>
                <w:rFonts w:cs="Arial"/>
              </w:rPr>
              <w:t>2</w:t>
            </w:r>
          </w:p>
        </w:tc>
        <w:tc>
          <w:tcPr>
            <w:tcW w:w="1560" w:type="dxa"/>
          </w:tcPr>
          <w:p w14:paraId="4ED696BB" w14:textId="77777777" w:rsidR="0078198D" w:rsidRDefault="0078198D" w:rsidP="00680082">
            <w:pPr>
              <w:jc w:val="center"/>
              <w:rPr>
                <w:rFonts w:cs="Arial"/>
              </w:rPr>
            </w:pPr>
          </w:p>
        </w:tc>
        <w:tc>
          <w:tcPr>
            <w:tcW w:w="1559" w:type="dxa"/>
          </w:tcPr>
          <w:p w14:paraId="19616F9C" w14:textId="77777777" w:rsidR="0078198D" w:rsidRDefault="0078198D" w:rsidP="00680082">
            <w:pPr>
              <w:jc w:val="center"/>
              <w:rPr>
                <w:rFonts w:cs="Arial"/>
              </w:rPr>
            </w:pPr>
          </w:p>
        </w:tc>
        <w:tc>
          <w:tcPr>
            <w:tcW w:w="1502" w:type="dxa"/>
          </w:tcPr>
          <w:p w14:paraId="7FB2CD4F" w14:textId="77777777" w:rsidR="0078198D" w:rsidRDefault="0078198D" w:rsidP="00680082">
            <w:pPr>
              <w:jc w:val="center"/>
              <w:rPr>
                <w:rFonts w:cs="Arial"/>
              </w:rPr>
            </w:pPr>
          </w:p>
        </w:tc>
        <w:tc>
          <w:tcPr>
            <w:tcW w:w="1509" w:type="dxa"/>
          </w:tcPr>
          <w:p w14:paraId="097B50BB" w14:textId="56B91FEE" w:rsidR="0078198D" w:rsidRDefault="0078198D" w:rsidP="00680082">
            <w:pPr>
              <w:jc w:val="center"/>
              <w:rPr>
                <w:rFonts w:cs="Arial"/>
              </w:rPr>
            </w:pPr>
            <w:r>
              <w:rPr>
                <w:rFonts w:cs="Arial"/>
              </w:rPr>
              <w:t>2</w:t>
            </w:r>
          </w:p>
        </w:tc>
      </w:tr>
      <w:tr w:rsidR="0078198D" w:rsidRPr="008B4CFE" w14:paraId="2A9F2DC2" w14:textId="77777777" w:rsidTr="0078198D">
        <w:trPr>
          <w:trHeight w:val="207"/>
        </w:trPr>
        <w:tc>
          <w:tcPr>
            <w:tcW w:w="1702" w:type="dxa"/>
          </w:tcPr>
          <w:p w14:paraId="38059924" w14:textId="51A31702" w:rsidR="0078198D" w:rsidRPr="008B4CFE" w:rsidRDefault="0078198D" w:rsidP="00680082">
            <w:pPr>
              <w:jc w:val="center"/>
              <w:rPr>
                <w:rFonts w:cs="Arial"/>
              </w:rPr>
            </w:pPr>
            <w:r w:rsidRPr="008B4CFE">
              <w:rPr>
                <w:rFonts w:cs="Arial"/>
              </w:rPr>
              <w:t>Y</w:t>
            </w:r>
            <w:r>
              <w:rPr>
                <w:rFonts w:cs="Arial"/>
              </w:rPr>
              <w:t xml:space="preserve">ear </w:t>
            </w:r>
            <w:r w:rsidRPr="008B4CFE">
              <w:rPr>
                <w:rFonts w:cs="Arial"/>
              </w:rPr>
              <w:t>5</w:t>
            </w:r>
          </w:p>
        </w:tc>
        <w:tc>
          <w:tcPr>
            <w:tcW w:w="1417" w:type="dxa"/>
            <w:shd w:val="clear" w:color="auto" w:fill="auto"/>
          </w:tcPr>
          <w:p w14:paraId="49D0DE2F" w14:textId="7FC31A89" w:rsidR="0078198D" w:rsidRPr="00013CC6" w:rsidRDefault="0078198D" w:rsidP="00680082">
            <w:pPr>
              <w:jc w:val="center"/>
              <w:rPr>
                <w:rFonts w:cs="Arial"/>
              </w:rPr>
            </w:pPr>
            <w:r>
              <w:rPr>
                <w:rFonts w:cs="Arial"/>
              </w:rPr>
              <w:t>26</w:t>
            </w:r>
          </w:p>
        </w:tc>
        <w:tc>
          <w:tcPr>
            <w:tcW w:w="1559" w:type="dxa"/>
          </w:tcPr>
          <w:p w14:paraId="6CE87E53" w14:textId="052DA919" w:rsidR="0078198D" w:rsidRPr="008B4CFE" w:rsidRDefault="0078198D" w:rsidP="002A4CBD">
            <w:pPr>
              <w:jc w:val="center"/>
              <w:rPr>
                <w:rFonts w:cs="Arial"/>
              </w:rPr>
            </w:pPr>
            <w:r>
              <w:rPr>
                <w:rFonts w:cs="Arial"/>
              </w:rPr>
              <w:t>9</w:t>
            </w:r>
          </w:p>
        </w:tc>
        <w:tc>
          <w:tcPr>
            <w:tcW w:w="1560" w:type="dxa"/>
          </w:tcPr>
          <w:p w14:paraId="2E431A68" w14:textId="137E5911" w:rsidR="0078198D" w:rsidRPr="008B4CFE" w:rsidRDefault="0078198D" w:rsidP="00680082">
            <w:pPr>
              <w:jc w:val="center"/>
              <w:rPr>
                <w:rFonts w:cs="Arial"/>
              </w:rPr>
            </w:pPr>
            <w:r>
              <w:rPr>
                <w:rFonts w:cs="Arial"/>
              </w:rPr>
              <w:t>7</w:t>
            </w:r>
          </w:p>
        </w:tc>
        <w:tc>
          <w:tcPr>
            <w:tcW w:w="1559" w:type="dxa"/>
          </w:tcPr>
          <w:p w14:paraId="5F58E31E" w14:textId="22EA0AC3" w:rsidR="0078198D" w:rsidRPr="008B4CFE" w:rsidRDefault="0078198D" w:rsidP="00680082">
            <w:pPr>
              <w:jc w:val="center"/>
              <w:rPr>
                <w:rFonts w:cs="Arial"/>
              </w:rPr>
            </w:pPr>
          </w:p>
        </w:tc>
        <w:tc>
          <w:tcPr>
            <w:tcW w:w="1502" w:type="dxa"/>
          </w:tcPr>
          <w:p w14:paraId="5F515B86" w14:textId="6E8C013C" w:rsidR="0078198D" w:rsidRPr="008B4CFE" w:rsidRDefault="0078198D" w:rsidP="00680082">
            <w:pPr>
              <w:jc w:val="center"/>
              <w:rPr>
                <w:rFonts w:cs="Arial"/>
              </w:rPr>
            </w:pPr>
          </w:p>
        </w:tc>
        <w:tc>
          <w:tcPr>
            <w:tcW w:w="1509" w:type="dxa"/>
          </w:tcPr>
          <w:p w14:paraId="4F311FD6" w14:textId="77777777" w:rsidR="0078198D" w:rsidRPr="008B4CFE" w:rsidRDefault="0078198D" w:rsidP="00680082">
            <w:pPr>
              <w:jc w:val="center"/>
              <w:rPr>
                <w:rFonts w:cs="Arial"/>
              </w:rPr>
            </w:pPr>
            <w:r>
              <w:rPr>
                <w:rFonts w:cs="Arial"/>
              </w:rPr>
              <w:t>2</w:t>
            </w:r>
          </w:p>
        </w:tc>
      </w:tr>
      <w:tr w:rsidR="0078198D" w:rsidRPr="008B4CFE" w14:paraId="7D901A95" w14:textId="77777777" w:rsidTr="0078198D">
        <w:trPr>
          <w:trHeight w:val="207"/>
        </w:trPr>
        <w:tc>
          <w:tcPr>
            <w:tcW w:w="1702" w:type="dxa"/>
          </w:tcPr>
          <w:p w14:paraId="5623C19A" w14:textId="6E5C85E0" w:rsidR="0078198D" w:rsidRPr="008B4CFE" w:rsidRDefault="0078198D" w:rsidP="00680082">
            <w:pPr>
              <w:jc w:val="center"/>
              <w:rPr>
                <w:rFonts w:cs="Arial"/>
              </w:rPr>
            </w:pPr>
            <w:r>
              <w:rPr>
                <w:rFonts w:cs="Arial"/>
              </w:rPr>
              <w:t>Year 5 Horizons</w:t>
            </w:r>
          </w:p>
        </w:tc>
        <w:tc>
          <w:tcPr>
            <w:tcW w:w="1417" w:type="dxa"/>
            <w:shd w:val="clear" w:color="auto" w:fill="auto"/>
          </w:tcPr>
          <w:p w14:paraId="34C7053E" w14:textId="7ADE0522" w:rsidR="0078198D" w:rsidRDefault="0078198D" w:rsidP="00680082">
            <w:pPr>
              <w:jc w:val="center"/>
              <w:rPr>
                <w:rFonts w:cs="Arial"/>
              </w:rPr>
            </w:pPr>
            <w:r>
              <w:rPr>
                <w:rFonts w:cs="Arial"/>
              </w:rPr>
              <w:t>3</w:t>
            </w:r>
          </w:p>
        </w:tc>
        <w:tc>
          <w:tcPr>
            <w:tcW w:w="1559" w:type="dxa"/>
          </w:tcPr>
          <w:p w14:paraId="5220DC43" w14:textId="444F6E48" w:rsidR="0078198D" w:rsidRDefault="0078198D" w:rsidP="002A4CBD">
            <w:pPr>
              <w:jc w:val="center"/>
              <w:rPr>
                <w:rFonts w:cs="Arial"/>
              </w:rPr>
            </w:pPr>
            <w:r>
              <w:rPr>
                <w:rFonts w:cs="Arial"/>
              </w:rPr>
              <w:t>3</w:t>
            </w:r>
          </w:p>
        </w:tc>
        <w:tc>
          <w:tcPr>
            <w:tcW w:w="1560" w:type="dxa"/>
          </w:tcPr>
          <w:p w14:paraId="51AECDC8" w14:textId="77777777" w:rsidR="0078198D" w:rsidRDefault="0078198D" w:rsidP="00680082">
            <w:pPr>
              <w:jc w:val="center"/>
              <w:rPr>
                <w:rFonts w:cs="Arial"/>
              </w:rPr>
            </w:pPr>
          </w:p>
        </w:tc>
        <w:tc>
          <w:tcPr>
            <w:tcW w:w="1559" w:type="dxa"/>
          </w:tcPr>
          <w:p w14:paraId="3A194A86" w14:textId="77777777" w:rsidR="0078198D" w:rsidRDefault="0078198D" w:rsidP="00680082">
            <w:pPr>
              <w:jc w:val="center"/>
              <w:rPr>
                <w:rFonts w:cs="Arial"/>
              </w:rPr>
            </w:pPr>
          </w:p>
        </w:tc>
        <w:tc>
          <w:tcPr>
            <w:tcW w:w="1502" w:type="dxa"/>
          </w:tcPr>
          <w:p w14:paraId="559B3602" w14:textId="77777777" w:rsidR="0078198D" w:rsidRDefault="0078198D" w:rsidP="00680082">
            <w:pPr>
              <w:jc w:val="center"/>
              <w:rPr>
                <w:rFonts w:cs="Arial"/>
              </w:rPr>
            </w:pPr>
          </w:p>
        </w:tc>
        <w:tc>
          <w:tcPr>
            <w:tcW w:w="1509" w:type="dxa"/>
          </w:tcPr>
          <w:p w14:paraId="3E73DA72" w14:textId="00C9BF36" w:rsidR="0078198D" w:rsidRDefault="0078198D" w:rsidP="00680082">
            <w:pPr>
              <w:jc w:val="center"/>
              <w:rPr>
                <w:rFonts w:cs="Arial"/>
              </w:rPr>
            </w:pPr>
            <w:r>
              <w:rPr>
                <w:rFonts w:cs="Arial"/>
              </w:rPr>
              <w:t>3</w:t>
            </w:r>
          </w:p>
        </w:tc>
      </w:tr>
      <w:tr w:rsidR="0078198D" w:rsidRPr="008B4CFE" w14:paraId="53624E5B" w14:textId="77777777" w:rsidTr="0078198D">
        <w:trPr>
          <w:trHeight w:val="207"/>
        </w:trPr>
        <w:tc>
          <w:tcPr>
            <w:tcW w:w="1702" w:type="dxa"/>
          </w:tcPr>
          <w:p w14:paraId="481555A2" w14:textId="4EE2E1E2" w:rsidR="0078198D" w:rsidRPr="008B4CFE" w:rsidRDefault="0078198D" w:rsidP="0035245E">
            <w:pPr>
              <w:jc w:val="center"/>
              <w:rPr>
                <w:rFonts w:cs="Arial"/>
              </w:rPr>
            </w:pPr>
            <w:r w:rsidRPr="008B4CFE">
              <w:rPr>
                <w:rFonts w:cs="Arial"/>
              </w:rPr>
              <w:t>Y</w:t>
            </w:r>
            <w:r>
              <w:rPr>
                <w:rFonts w:cs="Arial"/>
              </w:rPr>
              <w:t xml:space="preserve">ear </w:t>
            </w:r>
            <w:r w:rsidRPr="008B4CFE">
              <w:rPr>
                <w:rFonts w:cs="Arial"/>
              </w:rPr>
              <w:t>6</w:t>
            </w:r>
          </w:p>
        </w:tc>
        <w:tc>
          <w:tcPr>
            <w:tcW w:w="1417" w:type="dxa"/>
            <w:shd w:val="clear" w:color="auto" w:fill="auto"/>
          </w:tcPr>
          <w:p w14:paraId="758308E1" w14:textId="7AAC6FF1" w:rsidR="0078198D" w:rsidRDefault="0078198D" w:rsidP="0035245E">
            <w:pPr>
              <w:jc w:val="center"/>
              <w:rPr>
                <w:rFonts w:cs="Arial"/>
              </w:rPr>
            </w:pPr>
            <w:r>
              <w:rPr>
                <w:rFonts w:cs="Arial"/>
              </w:rPr>
              <w:t>26</w:t>
            </w:r>
          </w:p>
        </w:tc>
        <w:tc>
          <w:tcPr>
            <w:tcW w:w="1559" w:type="dxa"/>
          </w:tcPr>
          <w:p w14:paraId="3EF8A88F" w14:textId="43BCE485" w:rsidR="0078198D" w:rsidRDefault="0078198D" w:rsidP="0035245E">
            <w:pPr>
              <w:jc w:val="center"/>
              <w:rPr>
                <w:rFonts w:cs="Arial"/>
              </w:rPr>
            </w:pPr>
            <w:r>
              <w:rPr>
                <w:rFonts w:cs="Arial"/>
              </w:rPr>
              <w:t>9</w:t>
            </w:r>
          </w:p>
        </w:tc>
        <w:tc>
          <w:tcPr>
            <w:tcW w:w="1560" w:type="dxa"/>
          </w:tcPr>
          <w:p w14:paraId="64674380" w14:textId="4ECA7851" w:rsidR="0078198D" w:rsidRDefault="0078198D" w:rsidP="0035245E">
            <w:pPr>
              <w:jc w:val="center"/>
              <w:rPr>
                <w:rFonts w:cs="Arial"/>
              </w:rPr>
            </w:pPr>
            <w:r>
              <w:rPr>
                <w:rFonts w:cs="Arial"/>
              </w:rPr>
              <w:t>8</w:t>
            </w:r>
          </w:p>
        </w:tc>
        <w:tc>
          <w:tcPr>
            <w:tcW w:w="1559" w:type="dxa"/>
          </w:tcPr>
          <w:p w14:paraId="68955F43" w14:textId="30B333AD" w:rsidR="0078198D" w:rsidRDefault="0078198D" w:rsidP="0035245E">
            <w:pPr>
              <w:jc w:val="center"/>
              <w:rPr>
                <w:rFonts w:cs="Arial"/>
              </w:rPr>
            </w:pPr>
            <w:r>
              <w:rPr>
                <w:rFonts w:cs="Arial"/>
              </w:rPr>
              <w:t>1</w:t>
            </w:r>
          </w:p>
        </w:tc>
        <w:tc>
          <w:tcPr>
            <w:tcW w:w="1502" w:type="dxa"/>
          </w:tcPr>
          <w:p w14:paraId="2122394B" w14:textId="77777777" w:rsidR="0078198D" w:rsidRPr="008B4CFE" w:rsidRDefault="0078198D" w:rsidP="0035245E">
            <w:pPr>
              <w:jc w:val="center"/>
              <w:rPr>
                <w:rFonts w:cs="Arial"/>
              </w:rPr>
            </w:pPr>
          </w:p>
        </w:tc>
        <w:tc>
          <w:tcPr>
            <w:tcW w:w="1509" w:type="dxa"/>
          </w:tcPr>
          <w:p w14:paraId="38FCC019" w14:textId="1C3FCDFF" w:rsidR="0078198D" w:rsidRPr="008B4CFE" w:rsidRDefault="0078198D" w:rsidP="0035245E">
            <w:pPr>
              <w:jc w:val="center"/>
              <w:rPr>
                <w:rFonts w:cs="Arial"/>
              </w:rPr>
            </w:pPr>
            <w:r>
              <w:rPr>
                <w:rFonts w:cs="Arial"/>
              </w:rPr>
              <w:t>0</w:t>
            </w:r>
          </w:p>
        </w:tc>
      </w:tr>
      <w:tr w:rsidR="0078198D" w:rsidRPr="008B4CFE" w14:paraId="1435C234" w14:textId="77777777" w:rsidTr="0078198D">
        <w:trPr>
          <w:trHeight w:val="207"/>
        </w:trPr>
        <w:tc>
          <w:tcPr>
            <w:tcW w:w="1702" w:type="dxa"/>
          </w:tcPr>
          <w:p w14:paraId="37AB3D39" w14:textId="2CF88662" w:rsidR="0078198D" w:rsidRPr="008B4CFE" w:rsidRDefault="0078198D" w:rsidP="00F46B2B">
            <w:pPr>
              <w:jc w:val="center"/>
              <w:rPr>
                <w:rFonts w:cs="Arial"/>
              </w:rPr>
            </w:pPr>
            <w:r>
              <w:rPr>
                <w:rFonts w:cs="Arial"/>
              </w:rPr>
              <w:t>Year 6 Horizons</w:t>
            </w:r>
          </w:p>
        </w:tc>
        <w:tc>
          <w:tcPr>
            <w:tcW w:w="1417" w:type="dxa"/>
            <w:shd w:val="clear" w:color="auto" w:fill="auto"/>
          </w:tcPr>
          <w:p w14:paraId="3F589411" w14:textId="1CA455DB" w:rsidR="0078198D" w:rsidRPr="00013CC6" w:rsidRDefault="0078198D" w:rsidP="0035245E">
            <w:pPr>
              <w:jc w:val="center"/>
              <w:rPr>
                <w:rFonts w:cs="Arial"/>
              </w:rPr>
            </w:pPr>
            <w:r>
              <w:rPr>
                <w:rFonts w:cs="Arial"/>
              </w:rPr>
              <w:t>2</w:t>
            </w:r>
          </w:p>
        </w:tc>
        <w:tc>
          <w:tcPr>
            <w:tcW w:w="1559" w:type="dxa"/>
          </w:tcPr>
          <w:p w14:paraId="44351A48" w14:textId="729DA8FD" w:rsidR="0078198D" w:rsidRPr="008B4CFE" w:rsidRDefault="0078198D" w:rsidP="0035245E">
            <w:pPr>
              <w:jc w:val="center"/>
              <w:rPr>
                <w:rFonts w:cs="Arial"/>
              </w:rPr>
            </w:pPr>
            <w:r>
              <w:rPr>
                <w:rFonts w:cs="Arial"/>
              </w:rPr>
              <w:t>2</w:t>
            </w:r>
          </w:p>
        </w:tc>
        <w:tc>
          <w:tcPr>
            <w:tcW w:w="1560" w:type="dxa"/>
          </w:tcPr>
          <w:p w14:paraId="443E0849" w14:textId="30362172" w:rsidR="0078198D" w:rsidRPr="008B4CFE" w:rsidRDefault="0078198D" w:rsidP="0035245E">
            <w:pPr>
              <w:jc w:val="center"/>
              <w:rPr>
                <w:rFonts w:cs="Arial"/>
              </w:rPr>
            </w:pPr>
          </w:p>
        </w:tc>
        <w:tc>
          <w:tcPr>
            <w:tcW w:w="1559" w:type="dxa"/>
          </w:tcPr>
          <w:p w14:paraId="1AD0A0FA" w14:textId="465B1B61" w:rsidR="0078198D" w:rsidRPr="008B4CFE" w:rsidRDefault="0078198D" w:rsidP="0035245E">
            <w:pPr>
              <w:jc w:val="center"/>
              <w:rPr>
                <w:rFonts w:cs="Arial"/>
              </w:rPr>
            </w:pPr>
          </w:p>
        </w:tc>
        <w:tc>
          <w:tcPr>
            <w:tcW w:w="1502" w:type="dxa"/>
          </w:tcPr>
          <w:p w14:paraId="66328C79" w14:textId="77777777" w:rsidR="0078198D" w:rsidRPr="008B4CFE" w:rsidRDefault="0078198D" w:rsidP="0035245E">
            <w:pPr>
              <w:jc w:val="center"/>
              <w:rPr>
                <w:rFonts w:cs="Arial"/>
              </w:rPr>
            </w:pPr>
          </w:p>
        </w:tc>
        <w:tc>
          <w:tcPr>
            <w:tcW w:w="1509" w:type="dxa"/>
          </w:tcPr>
          <w:p w14:paraId="3C43E85B" w14:textId="044C5E49" w:rsidR="0078198D" w:rsidRPr="008B4CFE" w:rsidRDefault="0078198D" w:rsidP="0035245E">
            <w:pPr>
              <w:jc w:val="center"/>
              <w:rPr>
                <w:rFonts w:cs="Arial"/>
              </w:rPr>
            </w:pPr>
            <w:r>
              <w:rPr>
                <w:rFonts w:cs="Arial"/>
              </w:rPr>
              <w:t>2</w:t>
            </w:r>
          </w:p>
        </w:tc>
      </w:tr>
      <w:tr w:rsidR="0078198D" w:rsidRPr="008B4CFE" w14:paraId="45225839" w14:textId="77777777" w:rsidTr="0078198D">
        <w:trPr>
          <w:trHeight w:val="207"/>
        </w:trPr>
        <w:tc>
          <w:tcPr>
            <w:tcW w:w="1702" w:type="dxa"/>
          </w:tcPr>
          <w:p w14:paraId="6D6801E1" w14:textId="77777777" w:rsidR="0078198D" w:rsidRPr="008B4CFE" w:rsidRDefault="0078198D" w:rsidP="0035245E">
            <w:pPr>
              <w:jc w:val="center"/>
              <w:rPr>
                <w:rFonts w:cs="Arial"/>
              </w:rPr>
            </w:pPr>
            <w:r w:rsidRPr="008B4CFE">
              <w:rPr>
                <w:rFonts w:cs="Arial"/>
              </w:rPr>
              <w:t xml:space="preserve">Total </w:t>
            </w:r>
          </w:p>
        </w:tc>
        <w:tc>
          <w:tcPr>
            <w:tcW w:w="1417" w:type="dxa"/>
            <w:shd w:val="clear" w:color="auto" w:fill="auto"/>
          </w:tcPr>
          <w:p w14:paraId="4A1D0F65" w14:textId="10FC1C1B" w:rsidR="0078198D" w:rsidRPr="00013CC6" w:rsidRDefault="0078198D" w:rsidP="0035245E">
            <w:pPr>
              <w:jc w:val="center"/>
              <w:rPr>
                <w:rFonts w:cs="Arial"/>
              </w:rPr>
            </w:pPr>
            <w:r>
              <w:rPr>
                <w:rFonts w:cs="Arial"/>
              </w:rPr>
              <w:t>241</w:t>
            </w:r>
          </w:p>
        </w:tc>
        <w:tc>
          <w:tcPr>
            <w:tcW w:w="1559" w:type="dxa"/>
          </w:tcPr>
          <w:p w14:paraId="57E47CDE" w14:textId="4AB45C79" w:rsidR="0078198D" w:rsidRPr="008B4CFE" w:rsidRDefault="0078198D" w:rsidP="0035245E">
            <w:pPr>
              <w:jc w:val="center"/>
              <w:rPr>
                <w:rFonts w:cs="Arial"/>
              </w:rPr>
            </w:pPr>
            <w:r>
              <w:rPr>
                <w:rFonts w:cs="Arial"/>
              </w:rPr>
              <w:t>68</w:t>
            </w:r>
          </w:p>
        </w:tc>
        <w:tc>
          <w:tcPr>
            <w:tcW w:w="1560" w:type="dxa"/>
          </w:tcPr>
          <w:p w14:paraId="73972F0E" w14:textId="357C1939" w:rsidR="0078198D" w:rsidRPr="008B4CFE" w:rsidRDefault="0078198D" w:rsidP="0035245E">
            <w:pPr>
              <w:jc w:val="center"/>
              <w:rPr>
                <w:rFonts w:cs="Arial"/>
              </w:rPr>
            </w:pPr>
            <w:r>
              <w:rPr>
                <w:rFonts w:cs="Arial"/>
              </w:rPr>
              <w:t>41</w:t>
            </w:r>
          </w:p>
        </w:tc>
        <w:tc>
          <w:tcPr>
            <w:tcW w:w="1559" w:type="dxa"/>
          </w:tcPr>
          <w:p w14:paraId="09F52732" w14:textId="0DAC42FF" w:rsidR="0078198D" w:rsidRPr="008B4CFE" w:rsidRDefault="0078198D" w:rsidP="0035245E">
            <w:pPr>
              <w:jc w:val="center"/>
              <w:rPr>
                <w:rFonts w:cs="Arial"/>
              </w:rPr>
            </w:pPr>
            <w:r>
              <w:rPr>
                <w:rFonts w:cs="Arial"/>
              </w:rPr>
              <w:t>6</w:t>
            </w:r>
          </w:p>
        </w:tc>
        <w:tc>
          <w:tcPr>
            <w:tcW w:w="1502" w:type="dxa"/>
          </w:tcPr>
          <w:p w14:paraId="5B8BB448" w14:textId="15636CDD" w:rsidR="0078198D" w:rsidRPr="008B4CFE" w:rsidRDefault="0078198D" w:rsidP="0035245E">
            <w:pPr>
              <w:jc w:val="center"/>
              <w:rPr>
                <w:rFonts w:cs="Arial"/>
              </w:rPr>
            </w:pPr>
            <w:r>
              <w:rPr>
                <w:rFonts w:cs="Arial"/>
              </w:rPr>
              <w:t>2</w:t>
            </w:r>
          </w:p>
        </w:tc>
        <w:tc>
          <w:tcPr>
            <w:tcW w:w="1509" w:type="dxa"/>
          </w:tcPr>
          <w:p w14:paraId="19900527" w14:textId="0A710A8C" w:rsidR="0078198D" w:rsidRPr="008B4CFE" w:rsidRDefault="0078198D" w:rsidP="0035245E">
            <w:pPr>
              <w:jc w:val="center"/>
              <w:rPr>
                <w:rFonts w:cs="Arial"/>
              </w:rPr>
            </w:pPr>
            <w:r>
              <w:rPr>
                <w:rFonts w:cs="Arial"/>
              </w:rPr>
              <w:t>16</w:t>
            </w:r>
          </w:p>
        </w:tc>
      </w:tr>
    </w:tbl>
    <w:p w14:paraId="519F5F3E" w14:textId="77777777" w:rsidR="004975AB" w:rsidRDefault="004975AB" w:rsidP="008E5608">
      <w:pPr>
        <w:jc w:val="both"/>
        <w:rPr>
          <w:rFonts w:cs="Arial"/>
          <w:b/>
          <w:u w:val="single"/>
        </w:rPr>
      </w:pPr>
    </w:p>
    <w:p w14:paraId="6A15B3E0" w14:textId="3158F4C2" w:rsidR="004975AB" w:rsidRDefault="00CE7697" w:rsidP="008E5608">
      <w:pPr>
        <w:jc w:val="both"/>
        <w:rPr>
          <w:rFonts w:cs="Arial"/>
          <w:b/>
          <w:u w:val="single"/>
        </w:rPr>
      </w:pPr>
      <w:r>
        <w:rPr>
          <w:noProof/>
        </w:rPr>
        <w:drawing>
          <wp:inline distT="0" distB="0" distL="0" distR="0" wp14:anchorId="3CB280A8" wp14:editId="1039DA93">
            <wp:extent cx="6294120" cy="4259580"/>
            <wp:effectExtent l="0" t="0" r="11430" b="7620"/>
            <wp:docPr id="5" name="Chart 5">
              <a:extLst xmlns:a="http://schemas.openxmlformats.org/drawingml/2006/main">
                <a:ext uri="{FF2B5EF4-FFF2-40B4-BE49-F238E27FC236}">
                  <a16:creationId xmlns:a16="http://schemas.microsoft.com/office/drawing/2014/main" id="{1617E478-9E27-4D9A-B932-38EDF02796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DA276DC" w14:textId="437163AC" w:rsidR="004975AB" w:rsidRDefault="004975AB" w:rsidP="008E5608">
      <w:pPr>
        <w:jc w:val="both"/>
        <w:rPr>
          <w:rFonts w:cs="Arial"/>
          <w:b/>
          <w:u w:val="single"/>
        </w:rPr>
      </w:pPr>
    </w:p>
    <w:p w14:paraId="3CB6B1A2" w14:textId="77777777" w:rsidR="004975AB" w:rsidRDefault="004975AB" w:rsidP="008E5608">
      <w:pPr>
        <w:jc w:val="both"/>
        <w:rPr>
          <w:rFonts w:cs="Arial"/>
          <w:b/>
          <w:u w:val="single"/>
        </w:rPr>
      </w:pPr>
    </w:p>
    <w:p w14:paraId="47C97A47" w14:textId="26C68016" w:rsidR="0019476E" w:rsidRDefault="0019476E" w:rsidP="0078198D">
      <w:pPr>
        <w:jc w:val="center"/>
        <w:rPr>
          <w:rFonts w:cs="Arial"/>
          <w:b/>
          <w:u w:val="single"/>
        </w:rPr>
      </w:pPr>
      <w:r>
        <w:rPr>
          <w:rFonts w:cs="Arial"/>
          <w:b/>
          <w:u w:val="single"/>
        </w:rPr>
        <w:t>Budget and finance</w:t>
      </w:r>
    </w:p>
    <w:p w14:paraId="1764DB40" w14:textId="1D9056FB" w:rsidR="00C346E2" w:rsidRPr="00C346E2" w:rsidRDefault="0045493A" w:rsidP="008E5608">
      <w:pPr>
        <w:jc w:val="both"/>
      </w:pPr>
      <w:r w:rsidRPr="00AF2CB1">
        <w:t>As a school we receive the school budget from the Education Funding Agency. This includes the Notional SEN budget to support SEND children. This budget (£</w:t>
      </w:r>
      <w:r w:rsidR="00AF2CB1" w:rsidRPr="00AF2CB1">
        <w:t>175,255</w:t>
      </w:r>
      <w:r w:rsidR="00C346E2" w:rsidRPr="00AF2CB1">
        <w:t xml:space="preserve"> in </w:t>
      </w:r>
      <w:r w:rsidR="00AF2CB1" w:rsidRPr="00AF2CB1">
        <w:t>2020-21</w:t>
      </w:r>
      <w:r w:rsidR="00BD4D6D" w:rsidRPr="00AF2CB1">
        <w:t>)</w:t>
      </w:r>
      <w:r w:rsidR="007D1F0A">
        <w:t xml:space="preserve"> was</w:t>
      </w:r>
      <w:r w:rsidR="00D60BAE" w:rsidRPr="00AF2CB1">
        <w:t xml:space="preserve"> used to support SEND </w:t>
      </w:r>
      <w:r w:rsidRPr="00AF2CB1">
        <w:t xml:space="preserve">children with all </w:t>
      </w:r>
      <w:r w:rsidR="009C4A5F" w:rsidRPr="00AF2CB1">
        <w:t>levels</w:t>
      </w:r>
      <w:r w:rsidRPr="00AF2CB1">
        <w:t xml:space="preserve"> of need. Up to £10</w:t>
      </w:r>
      <w:r w:rsidR="00D60BAE" w:rsidRPr="00AF2CB1">
        <w:t>,</w:t>
      </w:r>
      <w:r w:rsidRPr="00AF2CB1">
        <w:t>000 (£4</w:t>
      </w:r>
      <w:r w:rsidR="00D60BAE" w:rsidRPr="00AF2CB1">
        <w:t>,</w:t>
      </w:r>
      <w:r w:rsidRPr="00AF2CB1">
        <w:t xml:space="preserve">000 from </w:t>
      </w:r>
      <w:r w:rsidR="009C4A5F" w:rsidRPr="00AF2CB1">
        <w:t xml:space="preserve">the </w:t>
      </w:r>
      <w:r w:rsidRPr="00AF2CB1">
        <w:t>normal school budget and £6</w:t>
      </w:r>
      <w:r w:rsidR="00D60BAE" w:rsidRPr="00AF2CB1">
        <w:t>,</w:t>
      </w:r>
      <w:r w:rsidRPr="00AF2CB1">
        <w:t>000 from the Notional SEN</w:t>
      </w:r>
      <w:r w:rsidR="00D60BAE" w:rsidRPr="00AF2CB1">
        <w:t>D</w:t>
      </w:r>
      <w:r w:rsidRPr="00AF2CB1">
        <w:t xml:space="preserve"> budget – equivalent to </w:t>
      </w:r>
      <w:r w:rsidR="00AF2CB1" w:rsidRPr="00AF2CB1">
        <w:t>19+</w:t>
      </w:r>
      <w:r w:rsidRPr="00AF2CB1">
        <w:t xml:space="preserve"> hours 1:1 support per week) must be spent by sch</w:t>
      </w:r>
      <w:r w:rsidR="00D60BAE" w:rsidRPr="00AF2CB1">
        <w:t xml:space="preserve">ool to support a child with SEND </w:t>
      </w:r>
      <w:r w:rsidRPr="00AF2CB1">
        <w:t>before applying for extra funding</w:t>
      </w:r>
      <w:r w:rsidR="00AF2CB1" w:rsidRPr="00AF2CB1">
        <w:t xml:space="preserve"> through the EHCP process</w:t>
      </w:r>
      <w:r w:rsidRPr="00AF2CB1">
        <w:t xml:space="preserve">. </w:t>
      </w:r>
      <w:r w:rsidR="00AF2CB1" w:rsidRPr="00AF2CB1">
        <w:t>In 2021</w:t>
      </w:r>
      <w:r w:rsidR="00AF2CB1">
        <w:t>-22, the budget is expected to be higher</w:t>
      </w:r>
      <w:r w:rsidR="007D1F0A">
        <w:t>,</w:t>
      </w:r>
      <w:r w:rsidR="00AF2CB1">
        <w:t xml:space="preserve"> at £190,808 </w:t>
      </w:r>
      <w:proofErr w:type="gramStart"/>
      <w:r w:rsidR="00AF2CB1">
        <w:t>as a result of</w:t>
      </w:r>
      <w:proofErr w:type="gramEnd"/>
      <w:r w:rsidR="00AF2CB1">
        <w:t xml:space="preserve"> having high</w:t>
      </w:r>
      <w:r w:rsidR="00B97F34">
        <w:t>er</w:t>
      </w:r>
      <w:r w:rsidR="00AF2CB1">
        <w:t xml:space="preserve"> numbers of children with SEN</w:t>
      </w:r>
      <w:r w:rsidR="0076402F">
        <w:t>D</w:t>
      </w:r>
      <w:r w:rsidR="00AF2CB1">
        <w:t xml:space="preserve"> on roll. </w:t>
      </w:r>
    </w:p>
    <w:p w14:paraId="133BD77B" w14:textId="010F86A1" w:rsidR="009C4A5F" w:rsidRPr="005F0C8A" w:rsidRDefault="0045493A" w:rsidP="008E5608">
      <w:pPr>
        <w:jc w:val="both"/>
      </w:pPr>
      <w:r w:rsidRPr="00C346E2">
        <w:t xml:space="preserve">The way </w:t>
      </w:r>
      <w:r w:rsidR="00B97F34">
        <w:t>the SEND budget</w:t>
      </w:r>
      <w:r w:rsidRPr="00C346E2">
        <w:t xml:space="preserve"> is spent is decided upon by the Head of School and SENDCo</w:t>
      </w:r>
      <w:r w:rsidR="00B97F34">
        <w:t xml:space="preserve"> in</w:t>
      </w:r>
      <w:r w:rsidRPr="00C346E2">
        <w:t xml:space="preserve"> discussion with the governors. If the child </w:t>
      </w:r>
      <w:r w:rsidR="00C346E2" w:rsidRPr="00C346E2">
        <w:t>has educational needs beyond ‘School Support</w:t>
      </w:r>
      <w:proofErr w:type="gramStart"/>
      <w:r w:rsidR="00C346E2" w:rsidRPr="00C346E2">
        <w:t xml:space="preserve">’, </w:t>
      </w:r>
      <w:r w:rsidRPr="00C346E2">
        <w:t xml:space="preserve"> extra</w:t>
      </w:r>
      <w:proofErr w:type="gramEnd"/>
      <w:r w:rsidRPr="00C346E2">
        <w:t xml:space="preserve"> funding (on top of this £10</w:t>
      </w:r>
      <w:r w:rsidR="00D60BAE" w:rsidRPr="00C346E2">
        <w:t>,</w:t>
      </w:r>
      <w:r w:rsidRPr="00C346E2">
        <w:t>000) can be applied</w:t>
      </w:r>
      <w:r w:rsidR="00940E86" w:rsidRPr="00C346E2">
        <w:t xml:space="preserve"> for</w:t>
      </w:r>
      <w:r w:rsidR="009C4A5F">
        <w:t xml:space="preserve">. Bradford’s SEND </w:t>
      </w:r>
      <w:r w:rsidRPr="00C346E2">
        <w:t xml:space="preserve">Services will determine the amount of the additional funding. This will be based upon evidence provided by parents/carers, the child or young person, the school and other professionals. The additional funding is allocated through an Education, </w:t>
      </w:r>
      <w:r w:rsidRPr="005F0C8A">
        <w:t xml:space="preserve">Health and Care Plan (EHCP). </w:t>
      </w:r>
    </w:p>
    <w:p w14:paraId="5A608A7E" w14:textId="4BAC7EBE" w:rsidR="005F0C8A" w:rsidRDefault="005F0C8A" w:rsidP="008E5608">
      <w:pPr>
        <w:jc w:val="both"/>
      </w:pPr>
      <w:r w:rsidRPr="005F0C8A">
        <w:t>As of June 2021</w:t>
      </w:r>
      <w:r w:rsidR="00B97F34">
        <w:t>,</w:t>
      </w:r>
      <w:r w:rsidR="0045493A" w:rsidRPr="005F0C8A">
        <w:t xml:space="preserve"> our high needs block of funding </w:t>
      </w:r>
      <w:r w:rsidRPr="005F0C8A">
        <w:t>is £95,374, up from</w:t>
      </w:r>
      <w:r w:rsidR="0045493A" w:rsidRPr="005F0C8A">
        <w:t xml:space="preserve"> £</w:t>
      </w:r>
      <w:r w:rsidR="00C346E2" w:rsidRPr="005F0C8A">
        <w:t>24,554</w:t>
      </w:r>
      <w:r w:rsidRPr="005F0C8A">
        <w:t xml:space="preserve"> last year. </w:t>
      </w:r>
      <w:r>
        <w:t>This</w:t>
      </w:r>
      <w:r w:rsidR="00717B56">
        <w:t xml:space="preserve"> increase</w:t>
      </w:r>
      <w:r>
        <w:t xml:space="preserve"> reflects the significantly higher number of pupils with EHCPs across the school</w:t>
      </w:r>
      <w:r w:rsidR="00717B56">
        <w:t xml:space="preserve"> including the Horizons Resourced Provision</w:t>
      </w:r>
      <w:r>
        <w:t>. This funding h</w:t>
      </w:r>
      <w:r w:rsidRPr="005F0C8A">
        <w:t xml:space="preserve">as been </w:t>
      </w:r>
      <w:r w:rsidR="009C4A5F" w:rsidRPr="005F0C8A">
        <w:t>allocated</w:t>
      </w:r>
      <w:r w:rsidR="00717B56">
        <w:t xml:space="preserve"> to support</w:t>
      </w:r>
      <w:r w:rsidR="009C4A5F" w:rsidRPr="005F0C8A">
        <w:t xml:space="preserve"> children with Education and Health Care Plans</w:t>
      </w:r>
      <w:r w:rsidRPr="005F0C8A">
        <w:t xml:space="preserve"> across both the mainstream school and the resourced provision</w:t>
      </w:r>
      <w:r w:rsidR="009C4A5F" w:rsidRPr="005F0C8A">
        <w:t>.</w:t>
      </w:r>
      <w:r w:rsidR="009C4A5F">
        <w:t xml:space="preserve"> </w:t>
      </w:r>
    </w:p>
    <w:p w14:paraId="71357F07" w14:textId="5A15F17E" w:rsidR="00F46B2B" w:rsidRPr="00F46B2B" w:rsidRDefault="00F46B2B" w:rsidP="0078198D">
      <w:pPr>
        <w:jc w:val="center"/>
        <w:rPr>
          <w:b/>
          <w:bCs/>
          <w:u w:val="single"/>
        </w:rPr>
      </w:pPr>
      <w:r w:rsidRPr="00F46B2B">
        <w:rPr>
          <w:b/>
          <w:bCs/>
          <w:u w:val="single"/>
        </w:rPr>
        <w:t xml:space="preserve">Our </w:t>
      </w:r>
      <w:r>
        <w:rPr>
          <w:b/>
          <w:bCs/>
          <w:u w:val="single"/>
        </w:rPr>
        <w:t>r</w:t>
      </w:r>
      <w:r w:rsidRPr="00F46B2B">
        <w:rPr>
          <w:b/>
          <w:bCs/>
          <w:u w:val="single"/>
        </w:rPr>
        <w:t>esponse to Covid</w:t>
      </w:r>
      <w:r>
        <w:rPr>
          <w:b/>
          <w:bCs/>
          <w:u w:val="single"/>
        </w:rPr>
        <w:t xml:space="preserve"> 19</w:t>
      </w:r>
    </w:p>
    <w:p w14:paraId="35C370C8" w14:textId="156EC522" w:rsidR="00F46B2B" w:rsidRDefault="00F46B2B" w:rsidP="008E5608">
      <w:pPr>
        <w:jc w:val="both"/>
      </w:pPr>
      <w:r>
        <w:t xml:space="preserve">At </w:t>
      </w:r>
      <w:proofErr w:type="spellStart"/>
      <w:r>
        <w:t>Holybrook</w:t>
      </w:r>
      <w:proofErr w:type="spellEnd"/>
      <w:r>
        <w:t xml:space="preserve"> Primary School we are proud of our response to the emotional well-being of our school community during the Covid-19 pandemic. The school has been open throughout to vulnerable and key worker children/ all children with SEND. As well as online teaching, we have ensured that all families have been contacted by a member of staff regularly. We have worked to ensure that families receive the necessary support whether that be food parcels, signposting to local services or dedicated email address monitored by key staff members. As children have returned to </w:t>
      </w:r>
      <w:proofErr w:type="gramStart"/>
      <w:r>
        <w:t>school</w:t>
      </w:r>
      <w:proofErr w:type="gramEnd"/>
      <w:r>
        <w:t xml:space="preserve"> we recognise that all of the school community have experienced change and for some</w:t>
      </w:r>
      <w:r w:rsidR="00717B56">
        <w:t>,</w:t>
      </w:r>
      <w:r>
        <w:t xml:space="preserve"> trauma. Consequently, all staff have undertaken training in the Zones of Regulation, with key staff undertaking </w:t>
      </w:r>
      <w:r w:rsidR="00717B56">
        <w:t>other</w:t>
      </w:r>
      <w:r>
        <w:t xml:space="preserve"> well-being training. </w:t>
      </w:r>
    </w:p>
    <w:p w14:paraId="2AE636BE" w14:textId="558D57CE" w:rsidR="00F46B2B" w:rsidRPr="005F0C8A" w:rsidRDefault="00F46B2B" w:rsidP="008E5608">
      <w:pPr>
        <w:jc w:val="both"/>
      </w:pPr>
      <w:r>
        <w:t xml:space="preserve">Our recovery curriculum allows for children to talk through their experiences during lockdown and subsequent worries and concerns so that they are in a place where they </w:t>
      </w:r>
      <w:proofErr w:type="gramStart"/>
      <w:r>
        <w:t>are able to</w:t>
      </w:r>
      <w:proofErr w:type="gramEnd"/>
      <w:r>
        <w:t xml:space="preserve"> learn. We recognise that some of our children have thrived whilst being at home and spending more time with their families whilst others have found this more challenging. We are mindful that some children will have slipped in their learning and our curriculum is tailored to ensure children move forwards with their learning.</w:t>
      </w:r>
    </w:p>
    <w:p w14:paraId="47166931" w14:textId="77777777" w:rsidR="0019476E" w:rsidRDefault="0019476E" w:rsidP="0078198D">
      <w:pPr>
        <w:jc w:val="center"/>
        <w:rPr>
          <w:rFonts w:cs="Arial"/>
          <w:b/>
          <w:u w:val="single"/>
        </w:rPr>
      </w:pPr>
      <w:r>
        <w:rPr>
          <w:rFonts w:cs="Arial"/>
          <w:b/>
          <w:u w:val="single"/>
        </w:rPr>
        <w:t>Approach to teaching and adaptation of curriculum and environment</w:t>
      </w:r>
    </w:p>
    <w:p w14:paraId="41CE663A" w14:textId="77777777" w:rsidR="00C346E2" w:rsidRDefault="00287075" w:rsidP="008E5608">
      <w:pPr>
        <w:jc w:val="both"/>
      </w:pPr>
      <w:r>
        <w:t xml:space="preserve">Class teachers plan lessons and differentiate according to the needs of children in their class. Sometimes this means simplifying a task, arranging alternative methods of recording, providing additional equipment or resources, grouping children carefully, and/or deploying support staff to give extra help. A child may also benefit from personalised programmes delivered in a small group, a pair, or on an individual basis. </w:t>
      </w:r>
    </w:p>
    <w:p w14:paraId="2634885A" w14:textId="52E04C86" w:rsidR="00857BB8" w:rsidRDefault="00287075" w:rsidP="00857BB8">
      <w:pPr>
        <w:jc w:val="both"/>
      </w:pPr>
      <w:r>
        <w:t>All chi</w:t>
      </w:r>
      <w:r w:rsidR="00C346E2">
        <w:t>ldren who have additional needs</w:t>
      </w:r>
      <w:r>
        <w:t xml:space="preserve"> are recorded on a class provision map.  </w:t>
      </w:r>
      <w:r w:rsidR="00934539">
        <w:t xml:space="preserve">We have also recorded our response to the Covid 19 pandemic, identifying how our pupils, including SEND pupils, have had additional support since returning to school.  </w:t>
      </w:r>
      <w:r>
        <w:t>Personal Learning Plans (PLPs) are used to write t</w:t>
      </w:r>
      <w:r w:rsidR="00940E86">
        <w:t xml:space="preserve">argets for children </w:t>
      </w:r>
      <w:r w:rsidR="00C346E2">
        <w:t xml:space="preserve">who are at ‘school support’. </w:t>
      </w:r>
      <w:r w:rsidR="00940E86">
        <w:t xml:space="preserve"> </w:t>
      </w:r>
      <w:r>
        <w:t xml:space="preserve">A breakdown of how </w:t>
      </w:r>
      <w:proofErr w:type="spellStart"/>
      <w:r>
        <w:t>Holybrook</w:t>
      </w:r>
      <w:proofErr w:type="spellEnd"/>
      <w:r>
        <w:t xml:space="preserve"> can meet each different area of need (including approach to teaching, adaptation or curriculum and provision) at each range</w:t>
      </w:r>
      <w:r w:rsidR="00940E86">
        <w:t>,</w:t>
      </w:r>
      <w:r>
        <w:t xml:space="preserve"> can be found in our Local Offer on the school website. </w:t>
      </w:r>
    </w:p>
    <w:p w14:paraId="1A1236FB" w14:textId="48B60A1C" w:rsidR="00857BB8" w:rsidRDefault="00D35219" w:rsidP="008E5608">
      <w:pPr>
        <w:jc w:val="both"/>
        <w:rPr>
          <w:noProof/>
          <w:lang w:eastAsia="en-GB"/>
        </w:rPr>
      </w:pPr>
      <w:hyperlink r:id="rId11" w:history="1">
        <w:r w:rsidRPr="00D35219">
          <w:rPr>
            <w:color w:val="0000FF"/>
            <w:u w:val="single"/>
          </w:rPr>
          <w:t xml:space="preserve">SEND Local Offer | </w:t>
        </w:r>
        <w:proofErr w:type="spellStart"/>
        <w:r w:rsidRPr="00D35219">
          <w:rPr>
            <w:color w:val="0000FF"/>
            <w:u w:val="single"/>
          </w:rPr>
          <w:t>Holybrook</w:t>
        </w:r>
        <w:proofErr w:type="spellEnd"/>
        <w:r w:rsidRPr="00D35219">
          <w:rPr>
            <w:color w:val="0000FF"/>
            <w:u w:val="single"/>
          </w:rPr>
          <w:t xml:space="preserve"> Primary School (h</w:t>
        </w:r>
        <w:r w:rsidRPr="00D35219">
          <w:rPr>
            <w:color w:val="0000FF"/>
            <w:u w:val="single"/>
          </w:rPr>
          <w:t>o</w:t>
        </w:r>
        <w:r w:rsidRPr="00D35219">
          <w:rPr>
            <w:color w:val="0000FF"/>
            <w:u w:val="single"/>
          </w:rPr>
          <w:t>lybrookacademy.co.uk)</w:t>
        </w:r>
      </w:hyperlink>
    </w:p>
    <w:p w14:paraId="3B836DC7" w14:textId="6350CF3A" w:rsidR="006E03C8" w:rsidRDefault="006E03C8" w:rsidP="008E5608">
      <w:pPr>
        <w:jc w:val="both"/>
        <w:rPr>
          <w:noProof/>
          <w:lang w:eastAsia="en-GB"/>
        </w:rPr>
      </w:pPr>
    </w:p>
    <w:p w14:paraId="2E2AD4FD" w14:textId="3C39BD7C" w:rsidR="006E03C8" w:rsidRDefault="006E03C8" w:rsidP="008E5608">
      <w:pPr>
        <w:jc w:val="both"/>
        <w:rPr>
          <w:noProof/>
          <w:lang w:eastAsia="en-GB"/>
        </w:rPr>
      </w:pPr>
    </w:p>
    <w:p w14:paraId="0E271425" w14:textId="0C3C779B" w:rsidR="006E03C8" w:rsidRDefault="006E03C8" w:rsidP="008E5608">
      <w:pPr>
        <w:jc w:val="both"/>
        <w:rPr>
          <w:noProof/>
          <w:lang w:eastAsia="en-GB"/>
        </w:rPr>
      </w:pPr>
    </w:p>
    <w:p w14:paraId="06C53693" w14:textId="56CB60E5" w:rsidR="006E03C8" w:rsidRDefault="006E03C8" w:rsidP="008E5608">
      <w:pPr>
        <w:jc w:val="both"/>
        <w:rPr>
          <w:noProof/>
          <w:lang w:eastAsia="en-GB"/>
        </w:rPr>
      </w:pPr>
    </w:p>
    <w:p w14:paraId="13EE45B2" w14:textId="77777777" w:rsidR="006E03C8" w:rsidRDefault="006E03C8" w:rsidP="008E5608">
      <w:pPr>
        <w:jc w:val="both"/>
        <w:rPr>
          <w:rFonts w:cs="Arial"/>
          <w:b/>
          <w:u w:val="single"/>
        </w:rPr>
      </w:pPr>
    </w:p>
    <w:p w14:paraId="47D40357" w14:textId="76591F56" w:rsidR="007034AE" w:rsidRDefault="0019476E" w:rsidP="008E5608">
      <w:pPr>
        <w:jc w:val="both"/>
        <w:rPr>
          <w:rFonts w:cs="Arial"/>
          <w:b/>
          <w:u w:val="single"/>
        </w:rPr>
      </w:pPr>
      <w:r w:rsidRPr="00D35219">
        <w:rPr>
          <w:rFonts w:cs="Arial"/>
          <w:b/>
          <w:u w:val="single"/>
        </w:rPr>
        <w:t>Example P</w:t>
      </w:r>
      <w:r w:rsidR="00D35219" w:rsidRPr="00D35219">
        <w:rPr>
          <w:rFonts w:cs="Arial"/>
          <w:b/>
          <w:u w:val="single"/>
        </w:rPr>
        <w:t>ersonal Learning Plan (PLP)</w:t>
      </w:r>
    </w:p>
    <w:p w14:paraId="2B90F760" w14:textId="707806B2" w:rsidR="007034AE" w:rsidRDefault="007034AE" w:rsidP="008E5608">
      <w:pPr>
        <w:jc w:val="both"/>
        <w:rPr>
          <w:rFonts w:cs="Arial"/>
          <w:b/>
          <w:u w:val="single"/>
        </w:rPr>
      </w:pPr>
    </w:p>
    <w:p w14:paraId="7254877D" w14:textId="47A5C895" w:rsidR="00D35219" w:rsidRDefault="00D35219" w:rsidP="008E5608">
      <w:pPr>
        <w:jc w:val="both"/>
        <w:rPr>
          <w:rFonts w:cs="Arial"/>
          <w:b/>
          <w:u w:val="single"/>
        </w:rPr>
      </w:pPr>
      <w:r>
        <w:rPr>
          <w:noProof/>
        </w:rPr>
        <w:drawing>
          <wp:anchor distT="0" distB="0" distL="114300" distR="114300" simplePos="0" relativeHeight="251670528" behindDoc="1" locked="0" layoutInCell="1" allowOverlap="1" wp14:anchorId="4795BC22" wp14:editId="7B9AE0BA">
            <wp:simplePos x="0" y="0"/>
            <wp:positionH relativeFrom="column">
              <wp:posOffset>314325</wp:posOffset>
            </wp:positionH>
            <wp:positionV relativeFrom="paragraph">
              <wp:posOffset>76835</wp:posOffset>
            </wp:positionV>
            <wp:extent cx="5897245" cy="3667125"/>
            <wp:effectExtent l="0" t="0" r="8255" b="9525"/>
            <wp:wrapTight wrapText="bothSides">
              <wp:wrapPolygon edited="0">
                <wp:start x="0" y="0"/>
                <wp:lineTo x="0" y="21544"/>
                <wp:lineTo x="21560" y="21544"/>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897245" cy="3667125"/>
                    </a:xfrm>
                    <a:prstGeom prst="rect">
                      <a:avLst/>
                    </a:prstGeom>
                  </pic:spPr>
                </pic:pic>
              </a:graphicData>
            </a:graphic>
            <wp14:sizeRelH relativeFrom="margin">
              <wp14:pctWidth>0</wp14:pctWidth>
            </wp14:sizeRelH>
            <wp14:sizeRelV relativeFrom="margin">
              <wp14:pctHeight>0</wp14:pctHeight>
            </wp14:sizeRelV>
          </wp:anchor>
        </w:drawing>
      </w:r>
    </w:p>
    <w:p w14:paraId="736EDE63" w14:textId="388CF9DF" w:rsidR="00B461D2" w:rsidRDefault="00B461D2" w:rsidP="008E5608">
      <w:pPr>
        <w:jc w:val="both"/>
        <w:rPr>
          <w:rFonts w:cs="Arial"/>
          <w:b/>
          <w:u w:val="single"/>
        </w:rPr>
      </w:pPr>
    </w:p>
    <w:p w14:paraId="7AE5C50A" w14:textId="7505AB37" w:rsidR="00D35219" w:rsidRDefault="00D35219" w:rsidP="008E5608">
      <w:pPr>
        <w:jc w:val="both"/>
        <w:rPr>
          <w:rFonts w:cs="Arial"/>
          <w:b/>
          <w:u w:val="single"/>
        </w:rPr>
      </w:pPr>
    </w:p>
    <w:p w14:paraId="75865A08" w14:textId="3E38EB41" w:rsidR="00D35219" w:rsidRDefault="00D35219" w:rsidP="008E5608">
      <w:pPr>
        <w:jc w:val="both"/>
        <w:rPr>
          <w:rFonts w:cs="Arial"/>
          <w:b/>
          <w:u w:val="single"/>
        </w:rPr>
      </w:pPr>
    </w:p>
    <w:p w14:paraId="28A5EA51" w14:textId="001AE6C4" w:rsidR="00D35219" w:rsidRDefault="00D35219" w:rsidP="008E5608">
      <w:pPr>
        <w:jc w:val="both"/>
        <w:rPr>
          <w:rFonts w:cs="Arial"/>
          <w:b/>
          <w:u w:val="single"/>
        </w:rPr>
      </w:pPr>
    </w:p>
    <w:p w14:paraId="2313AFAB" w14:textId="4546EB05" w:rsidR="00D35219" w:rsidRDefault="00D35219" w:rsidP="008E5608">
      <w:pPr>
        <w:jc w:val="both"/>
        <w:rPr>
          <w:rFonts w:cs="Arial"/>
          <w:b/>
          <w:u w:val="single"/>
        </w:rPr>
      </w:pPr>
    </w:p>
    <w:p w14:paraId="4CB2F402" w14:textId="0847DEBA" w:rsidR="00D35219" w:rsidRDefault="00D35219" w:rsidP="008E5608">
      <w:pPr>
        <w:jc w:val="both"/>
        <w:rPr>
          <w:rFonts w:cs="Arial"/>
          <w:b/>
          <w:u w:val="single"/>
        </w:rPr>
      </w:pPr>
    </w:p>
    <w:p w14:paraId="48382B8F" w14:textId="2DEBEA50" w:rsidR="00D35219" w:rsidRDefault="00D35219" w:rsidP="008E5608">
      <w:pPr>
        <w:jc w:val="both"/>
        <w:rPr>
          <w:rFonts w:cs="Arial"/>
          <w:b/>
          <w:u w:val="single"/>
        </w:rPr>
      </w:pPr>
    </w:p>
    <w:p w14:paraId="4E88BEFA" w14:textId="6F135456" w:rsidR="00D35219" w:rsidRDefault="00D35219" w:rsidP="008E5608">
      <w:pPr>
        <w:jc w:val="both"/>
        <w:rPr>
          <w:rFonts w:cs="Arial"/>
          <w:b/>
          <w:u w:val="single"/>
        </w:rPr>
      </w:pPr>
    </w:p>
    <w:p w14:paraId="53974713" w14:textId="6D8E8A07" w:rsidR="00D35219" w:rsidRDefault="00D35219" w:rsidP="008E5608">
      <w:pPr>
        <w:jc w:val="both"/>
        <w:rPr>
          <w:rFonts w:cs="Arial"/>
          <w:b/>
          <w:u w:val="single"/>
        </w:rPr>
      </w:pPr>
    </w:p>
    <w:p w14:paraId="10521E7D" w14:textId="39686346" w:rsidR="00D35219" w:rsidRDefault="00D35219" w:rsidP="008E5608">
      <w:pPr>
        <w:jc w:val="both"/>
        <w:rPr>
          <w:rFonts w:cs="Arial"/>
          <w:b/>
          <w:u w:val="single"/>
        </w:rPr>
      </w:pPr>
    </w:p>
    <w:p w14:paraId="74B5414E" w14:textId="6897351C" w:rsidR="00D35219" w:rsidRDefault="00D35219" w:rsidP="008E5608">
      <w:pPr>
        <w:jc w:val="both"/>
        <w:rPr>
          <w:rFonts w:cs="Arial"/>
          <w:b/>
          <w:u w:val="single"/>
        </w:rPr>
      </w:pPr>
    </w:p>
    <w:p w14:paraId="0BDD630B" w14:textId="472D57BD" w:rsidR="00D35219" w:rsidRDefault="00D35219" w:rsidP="008E5608">
      <w:pPr>
        <w:jc w:val="both"/>
        <w:rPr>
          <w:rFonts w:cs="Arial"/>
          <w:b/>
          <w:u w:val="single"/>
        </w:rPr>
      </w:pPr>
    </w:p>
    <w:p w14:paraId="318BD716" w14:textId="5CC73045" w:rsidR="00D35219" w:rsidRDefault="00D35219" w:rsidP="008E5608">
      <w:pPr>
        <w:jc w:val="both"/>
        <w:rPr>
          <w:rFonts w:cs="Arial"/>
          <w:b/>
          <w:u w:val="single"/>
        </w:rPr>
      </w:pPr>
    </w:p>
    <w:p w14:paraId="6093B9A1" w14:textId="135AB91B" w:rsidR="00D35219" w:rsidRDefault="00D35219" w:rsidP="008E5608">
      <w:pPr>
        <w:jc w:val="both"/>
        <w:rPr>
          <w:rFonts w:cs="Arial"/>
          <w:b/>
          <w:u w:val="single"/>
        </w:rPr>
      </w:pPr>
      <w:r>
        <w:rPr>
          <w:rFonts w:cs="Arial"/>
          <w:b/>
          <w:noProof/>
          <w:u w:val="single"/>
        </w:rPr>
        <w:drawing>
          <wp:anchor distT="0" distB="0" distL="114300" distR="114300" simplePos="0" relativeHeight="251671552" behindDoc="1" locked="0" layoutInCell="1" allowOverlap="1" wp14:anchorId="6365AAF2" wp14:editId="71CE49C5">
            <wp:simplePos x="0" y="0"/>
            <wp:positionH relativeFrom="column">
              <wp:posOffset>342900</wp:posOffset>
            </wp:positionH>
            <wp:positionV relativeFrom="paragraph">
              <wp:posOffset>12065</wp:posOffset>
            </wp:positionV>
            <wp:extent cx="5777865" cy="3933825"/>
            <wp:effectExtent l="0" t="0" r="0" b="9525"/>
            <wp:wrapTight wrapText="bothSides">
              <wp:wrapPolygon edited="0">
                <wp:start x="0" y="0"/>
                <wp:lineTo x="0" y="21548"/>
                <wp:lineTo x="21507" y="21548"/>
                <wp:lineTo x="2150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7865" cy="3933825"/>
                    </a:xfrm>
                    <a:prstGeom prst="rect">
                      <a:avLst/>
                    </a:prstGeom>
                    <a:noFill/>
                  </pic:spPr>
                </pic:pic>
              </a:graphicData>
            </a:graphic>
            <wp14:sizeRelH relativeFrom="margin">
              <wp14:pctWidth>0</wp14:pctWidth>
            </wp14:sizeRelH>
            <wp14:sizeRelV relativeFrom="margin">
              <wp14:pctHeight>0</wp14:pctHeight>
            </wp14:sizeRelV>
          </wp:anchor>
        </w:drawing>
      </w:r>
    </w:p>
    <w:p w14:paraId="102B3DBB" w14:textId="77777777" w:rsidR="00D35219" w:rsidRDefault="00D35219" w:rsidP="00D35219">
      <w:pPr>
        <w:jc w:val="both"/>
        <w:rPr>
          <w:rFonts w:cs="Arial"/>
          <w:b/>
          <w:u w:val="single"/>
        </w:rPr>
      </w:pPr>
    </w:p>
    <w:p w14:paraId="268A5A1C" w14:textId="77777777" w:rsidR="00D35219" w:rsidRDefault="00D35219" w:rsidP="00D35219">
      <w:pPr>
        <w:jc w:val="both"/>
        <w:rPr>
          <w:rFonts w:cs="Arial"/>
          <w:b/>
          <w:u w:val="single"/>
        </w:rPr>
      </w:pPr>
    </w:p>
    <w:p w14:paraId="02CEE526" w14:textId="77777777" w:rsidR="00D35219" w:rsidRDefault="00D35219" w:rsidP="00D35219">
      <w:pPr>
        <w:jc w:val="both"/>
        <w:rPr>
          <w:rFonts w:cs="Arial"/>
          <w:b/>
          <w:u w:val="single"/>
        </w:rPr>
      </w:pPr>
    </w:p>
    <w:p w14:paraId="79B7604B" w14:textId="77777777" w:rsidR="00D35219" w:rsidRDefault="00D35219" w:rsidP="00D35219">
      <w:pPr>
        <w:jc w:val="both"/>
        <w:rPr>
          <w:rFonts w:cs="Arial"/>
          <w:b/>
          <w:u w:val="single"/>
        </w:rPr>
      </w:pPr>
    </w:p>
    <w:p w14:paraId="1E983951" w14:textId="77777777" w:rsidR="00D35219" w:rsidRDefault="00D35219" w:rsidP="00D35219">
      <w:pPr>
        <w:jc w:val="both"/>
        <w:rPr>
          <w:rFonts w:cs="Arial"/>
          <w:b/>
          <w:u w:val="single"/>
        </w:rPr>
      </w:pPr>
    </w:p>
    <w:p w14:paraId="1510E65F" w14:textId="77777777" w:rsidR="00D35219" w:rsidRDefault="00D35219" w:rsidP="00D35219">
      <w:pPr>
        <w:jc w:val="both"/>
        <w:rPr>
          <w:rFonts w:cs="Arial"/>
          <w:b/>
          <w:u w:val="single"/>
        </w:rPr>
      </w:pPr>
    </w:p>
    <w:p w14:paraId="14DDDE2D" w14:textId="77777777" w:rsidR="00D35219" w:rsidRDefault="00D35219" w:rsidP="00D35219">
      <w:pPr>
        <w:jc w:val="both"/>
        <w:rPr>
          <w:rFonts w:cs="Arial"/>
          <w:b/>
          <w:u w:val="single"/>
        </w:rPr>
      </w:pPr>
    </w:p>
    <w:p w14:paraId="259765C4" w14:textId="77777777" w:rsidR="00D35219" w:rsidRDefault="00D35219" w:rsidP="00D35219">
      <w:pPr>
        <w:jc w:val="both"/>
        <w:rPr>
          <w:rFonts w:cs="Arial"/>
          <w:b/>
          <w:u w:val="single"/>
        </w:rPr>
      </w:pPr>
    </w:p>
    <w:p w14:paraId="5EAA0370" w14:textId="77777777" w:rsidR="00D35219" w:rsidRDefault="00D35219" w:rsidP="00D35219">
      <w:pPr>
        <w:jc w:val="both"/>
        <w:rPr>
          <w:rFonts w:cs="Arial"/>
          <w:b/>
          <w:u w:val="single"/>
        </w:rPr>
      </w:pPr>
    </w:p>
    <w:p w14:paraId="73953452" w14:textId="77777777" w:rsidR="00D35219" w:rsidRDefault="00D35219" w:rsidP="00D35219">
      <w:pPr>
        <w:jc w:val="both"/>
        <w:rPr>
          <w:rFonts w:cs="Arial"/>
          <w:b/>
          <w:u w:val="single"/>
        </w:rPr>
      </w:pPr>
    </w:p>
    <w:p w14:paraId="63A34A68" w14:textId="77777777" w:rsidR="00D35219" w:rsidRDefault="00D35219" w:rsidP="00D35219">
      <w:pPr>
        <w:jc w:val="both"/>
        <w:rPr>
          <w:rFonts w:cs="Arial"/>
          <w:b/>
          <w:u w:val="single"/>
        </w:rPr>
      </w:pPr>
    </w:p>
    <w:p w14:paraId="2E289726" w14:textId="77777777" w:rsidR="00D35219" w:rsidRDefault="00D35219" w:rsidP="00D35219">
      <w:pPr>
        <w:jc w:val="both"/>
        <w:rPr>
          <w:rFonts w:cs="Arial"/>
          <w:b/>
          <w:u w:val="single"/>
        </w:rPr>
      </w:pPr>
    </w:p>
    <w:p w14:paraId="0BF8267E" w14:textId="77777777" w:rsidR="00D35219" w:rsidRDefault="00D35219" w:rsidP="00D35219">
      <w:pPr>
        <w:jc w:val="both"/>
        <w:rPr>
          <w:rFonts w:cs="Arial"/>
          <w:b/>
          <w:u w:val="single"/>
        </w:rPr>
      </w:pPr>
    </w:p>
    <w:p w14:paraId="1B156E77" w14:textId="77777777" w:rsidR="00D35219" w:rsidRDefault="00D35219" w:rsidP="00D35219">
      <w:pPr>
        <w:jc w:val="both"/>
        <w:rPr>
          <w:rFonts w:cs="Arial"/>
          <w:b/>
          <w:u w:val="single"/>
        </w:rPr>
      </w:pPr>
    </w:p>
    <w:p w14:paraId="7A1D92A0" w14:textId="49E96D5D" w:rsidR="00D35219" w:rsidRDefault="00D35219" w:rsidP="00D35219">
      <w:pPr>
        <w:jc w:val="both"/>
        <w:rPr>
          <w:rFonts w:cs="Arial"/>
          <w:b/>
          <w:u w:val="single"/>
        </w:rPr>
      </w:pPr>
      <w:r w:rsidRPr="00D35219">
        <w:rPr>
          <w:rFonts w:cs="Arial"/>
          <w:b/>
          <w:u w:val="single"/>
        </w:rPr>
        <w:lastRenderedPageBreak/>
        <w:t xml:space="preserve">Example </w:t>
      </w:r>
      <w:r w:rsidRPr="00D35219">
        <w:rPr>
          <w:rFonts w:cs="Arial"/>
          <w:b/>
          <w:u w:val="single"/>
        </w:rPr>
        <w:t>Provision Map</w:t>
      </w:r>
    </w:p>
    <w:p w14:paraId="0838AE29" w14:textId="6CFCD2E0" w:rsidR="00717B56" w:rsidRDefault="00717B56" w:rsidP="008E5608">
      <w:pPr>
        <w:jc w:val="both"/>
        <w:rPr>
          <w:rFonts w:cs="Arial"/>
          <w:b/>
          <w:u w:val="single"/>
        </w:rPr>
      </w:pPr>
      <w:r>
        <w:rPr>
          <w:noProof/>
        </w:rPr>
        <w:drawing>
          <wp:anchor distT="0" distB="0" distL="114300" distR="114300" simplePos="0" relativeHeight="251672576" behindDoc="1" locked="0" layoutInCell="1" allowOverlap="1" wp14:anchorId="29B3460F" wp14:editId="29243472">
            <wp:simplePos x="0" y="0"/>
            <wp:positionH relativeFrom="margin">
              <wp:align>right</wp:align>
            </wp:positionH>
            <wp:positionV relativeFrom="paragraph">
              <wp:posOffset>161925</wp:posOffset>
            </wp:positionV>
            <wp:extent cx="6645910" cy="4337685"/>
            <wp:effectExtent l="0" t="0" r="2540" b="5715"/>
            <wp:wrapTight wrapText="bothSides">
              <wp:wrapPolygon edited="0">
                <wp:start x="0" y="0"/>
                <wp:lineTo x="0" y="21534"/>
                <wp:lineTo x="21546" y="21534"/>
                <wp:lineTo x="215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645910" cy="4337685"/>
                    </a:xfrm>
                    <a:prstGeom prst="rect">
                      <a:avLst/>
                    </a:prstGeom>
                  </pic:spPr>
                </pic:pic>
              </a:graphicData>
            </a:graphic>
          </wp:anchor>
        </w:drawing>
      </w:r>
    </w:p>
    <w:p w14:paraId="30685784" w14:textId="54F6E140" w:rsidR="0019476E" w:rsidRDefault="0019476E" w:rsidP="008E5608">
      <w:pPr>
        <w:jc w:val="both"/>
        <w:rPr>
          <w:rFonts w:cs="Arial"/>
          <w:b/>
          <w:u w:val="single"/>
        </w:rPr>
      </w:pPr>
      <w:r>
        <w:rPr>
          <w:rFonts w:cs="Arial"/>
          <w:b/>
          <w:u w:val="single"/>
        </w:rPr>
        <w:t>Identification of SEND</w:t>
      </w:r>
    </w:p>
    <w:p w14:paraId="2DF225B7" w14:textId="24EBB8E7" w:rsidR="007366CA" w:rsidRDefault="007366CA" w:rsidP="007366CA">
      <w:pPr>
        <w:pStyle w:val="NoSpacing"/>
      </w:pPr>
      <w:r>
        <w:t xml:space="preserve">To identify pupils with SEND, </w:t>
      </w:r>
      <w:proofErr w:type="spellStart"/>
      <w:r>
        <w:t>Holybrook</w:t>
      </w:r>
      <w:proofErr w:type="spellEnd"/>
      <w:r w:rsidR="00940E86">
        <w:t xml:space="preserve"> </w:t>
      </w:r>
      <w:r>
        <w:t xml:space="preserve">Primary will: </w:t>
      </w:r>
    </w:p>
    <w:p w14:paraId="3D9DB140" w14:textId="1DC2E672" w:rsidR="007366CA" w:rsidRDefault="007366CA" w:rsidP="007366CA">
      <w:pPr>
        <w:pStyle w:val="NoSpacing"/>
        <w:numPr>
          <w:ilvl w:val="0"/>
          <w:numId w:val="21"/>
        </w:numPr>
      </w:pPr>
      <w:r>
        <w:t xml:space="preserve">Look at current assessment of the pupil or attainment on entry </w:t>
      </w:r>
    </w:p>
    <w:p w14:paraId="65A5C0EF" w14:textId="42F84F99" w:rsidR="007366CA" w:rsidRDefault="007366CA" w:rsidP="007366CA">
      <w:pPr>
        <w:pStyle w:val="NoSpacing"/>
        <w:numPr>
          <w:ilvl w:val="0"/>
          <w:numId w:val="21"/>
        </w:numPr>
      </w:pPr>
      <w:r>
        <w:t xml:space="preserve">Look at any information provided by previous setting, parents or involved agency </w:t>
      </w:r>
    </w:p>
    <w:p w14:paraId="22E7851D" w14:textId="77777777" w:rsidR="007366CA" w:rsidRDefault="007366CA" w:rsidP="007366CA">
      <w:pPr>
        <w:pStyle w:val="NoSpacing"/>
        <w:numPr>
          <w:ilvl w:val="0"/>
          <w:numId w:val="21"/>
        </w:numPr>
      </w:pPr>
      <w:r>
        <w:t xml:space="preserve">Use regular teacher assessment to monitor progress </w:t>
      </w:r>
    </w:p>
    <w:p w14:paraId="26EA7FC8" w14:textId="77777777" w:rsidR="007366CA" w:rsidRDefault="007366CA" w:rsidP="007366CA">
      <w:pPr>
        <w:pStyle w:val="NoSpacing"/>
        <w:numPr>
          <w:ilvl w:val="0"/>
          <w:numId w:val="21"/>
        </w:numPr>
      </w:pPr>
      <w:r>
        <w:t>Look at the progress in comparison the peers</w:t>
      </w:r>
    </w:p>
    <w:p w14:paraId="0D34D1C2" w14:textId="614963A5" w:rsidR="007366CA" w:rsidRDefault="007366CA" w:rsidP="007366CA">
      <w:pPr>
        <w:pStyle w:val="NoSpacing"/>
        <w:numPr>
          <w:ilvl w:val="0"/>
          <w:numId w:val="21"/>
        </w:numPr>
      </w:pPr>
      <w:r>
        <w:t>Speak to parents and the pupil about their views</w:t>
      </w:r>
    </w:p>
    <w:p w14:paraId="3E5FB87F" w14:textId="77777777" w:rsidR="007366CA" w:rsidRDefault="007366CA" w:rsidP="007366CA">
      <w:pPr>
        <w:pStyle w:val="NoSpacing"/>
        <w:numPr>
          <w:ilvl w:val="0"/>
          <w:numId w:val="21"/>
        </w:numPr>
        <w:rPr>
          <w:rFonts w:cs="Arial"/>
          <w:b/>
          <w:u w:val="single"/>
        </w:rPr>
      </w:pPr>
      <w:r>
        <w:t>Seek advice from external agencies where appropriate</w:t>
      </w:r>
    </w:p>
    <w:p w14:paraId="7935C2BD" w14:textId="77777777" w:rsidR="007A4543" w:rsidRDefault="007A4543" w:rsidP="007A4543">
      <w:pPr>
        <w:pStyle w:val="NoSpacing"/>
      </w:pPr>
    </w:p>
    <w:p w14:paraId="1E7CCE5D" w14:textId="77777777" w:rsidR="007A4543" w:rsidRDefault="007A4543" w:rsidP="007A4543">
      <w:pPr>
        <w:pStyle w:val="NoSpacing"/>
      </w:pPr>
      <w:r>
        <w:t xml:space="preserve">We will </w:t>
      </w:r>
      <w:r w:rsidRPr="00EC036F">
        <w:t xml:space="preserve">the monitor </w:t>
      </w:r>
      <w:r w:rsidR="00940E86" w:rsidRPr="00EC036F">
        <w:t xml:space="preserve">curriculum </w:t>
      </w:r>
      <w:r>
        <w:t xml:space="preserve">interventions carefully to ensure that: </w:t>
      </w:r>
    </w:p>
    <w:p w14:paraId="35058972" w14:textId="55C6DBF8" w:rsidR="007A4543" w:rsidRDefault="007A4543" w:rsidP="007A4543">
      <w:pPr>
        <w:pStyle w:val="NoSpacing"/>
        <w:numPr>
          <w:ilvl w:val="0"/>
          <w:numId w:val="22"/>
        </w:numPr>
      </w:pPr>
      <w:r>
        <w:t xml:space="preserve">the child’s progress is </w:t>
      </w:r>
      <w:proofErr w:type="gramStart"/>
      <w:r>
        <w:t>similar to</w:t>
      </w:r>
      <w:proofErr w:type="gramEnd"/>
      <w:r>
        <w:t xml:space="preserve"> that of their peers starting from the same baseline </w:t>
      </w:r>
    </w:p>
    <w:p w14:paraId="3076B514" w14:textId="3FE4F9CA" w:rsidR="007A4543" w:rsidRDefault="007A4543" w:rsidP="007A4543">
      <w:pPr>
        <w:pStyle w:val="NoSpacing"/>
        <w:numPr>
          <w:ilvl w:val="0"/>
          <w:numId w:val="22"/>
        </w:numPr>
      </w:pPr>
      <w:r>
        <w:t xml:space="preserve">progress matches or betters the child’s previous rate of progress </w:t>
      </w:r>
    </w:p>
    <w:p w14:paraId="550D91DD" w14:textId="5193280C" w:rsidR="007A4543" w:rsidRDefault="007A4543" w:rsidP="007A4543">
      <w:pPr>
        <w:pStyle w:val="NoSpacing"/>
        <w:numPr>
          <w:ilvl w:val="0"/>
          <w:numId w:val="22"/>
        </w:numPr>
      </w:pPr>
      <w:r>
        <w:t xml:space="preserve">the attainment gap between the child and their peers is closing </w:t>
      </w:r>
    </w:p>
    <w:p w14:paraId="04A19DB6" w14:textId="0D897745" w:rsidR="007A4543" w:rsidRDefault="007A4543" w:rsidP="007A4543">
      <w:pPr>
        <w:pStyle w:val="NoSpacing"/>
        <w:numPr>
          <w:ilvl w:val="0"/>
          <w:numId w:val="22"/>
        </w:numPr>
      </w:pPr>
      <w:r>
        <w:t>we prevent the attainment gap growing wider</w:t>
      </w:r>
    </w:p>
    <w:p w14:paraId="472BFB1A" w14:textId="5DC5B30F" w:rsidR="007A4543" w:rsidRPr="007A4543" w:rsidRDefault="007A4543" w:rsidP="007A4543">
      <w:pPr>
        <w:pStyle w:val="NoSpacing"/>
        <w:numPr>
          <w:ilvl w:val="0"/>
          <w:numId w:val="22"/>
        </w:numPr>
        <w:rPr>
          <w:rFonts w:cs="Arial"/>
          <w:b/>
          <w:u w:val="single"/>
        </w:rPr>
      </w:pPr>
      <w:r>
        <w:t xml:space="preserve">The school will provide extra support to pupils falling behind or making inadequate progress given their age and starting point and if necessary, re-assess a pupil’s learning need where pupils continue to make inadequate progress, despite high-quality </w:t>
      </w:r>
      <w:r w:rsidRPr="00EC036F">
        <w:t xml:space="preserve">teaching </w:t>
      </w:r>
      <w:r w:rsidR="00940E86" w:rsidRPr="00EC036F">
        <w:t xml:space="preserve">and a personalised curriculum </w:t>
      </w:r>
      <w:r w:rsidRPr="00EC036F">
        <w:t xml:space="preserve">targeted </w:t>
      </w:r>
      <w:r>
        <w:t>at their areas of weakness.</w:t>
      </w:r>
    </w:p>
    <w:p w14:paraId="7D4CDFD2" w14:textId="77777777" w:rsidR="007A4543" w:rsidRPr="007A4543" w:rsidRDefault="007A4543" w:rsidP="007A4543">
      <w:pPr>
        <w:pStyle w:val="NoSpacing"/>
        <w:ind w:left="720"/>
        <w:rPr>
          <w:rFonts w:cs="Arial"/>
          <w:b/>
          <w:u w:val="single"/>
        </w:rPr>
      </w:pPr>
    </w:p>
    <w:p w14:paraId="09337128" w14:textId="30B203E7" w:rsidR="007A4543" w:rsidRPr="007A4543" w:rsidRDefault="0019476E" w:rsidP="008E5608">
      <w:pPr>
        <w:jc w:val="both"/>
        <w:rPr>
          <w:rFonts w:cs="Arial"/>
          <w:b/>
          <w:u w:val="single"/>
        </w:rPr>
      </w:pPr>
      <w:r>
        <w:rPr>
          <w:rFonts w:cs="Arial"/>
          <w:b/>
          <w:u w:val="single"/>
        </w:rPr>
        <w:t>Evaluating Provision</w:t>
      </w:r>
    </w:p>
    <w:p w14:paraId="1588B45F" w14:textId="017E060F" w:rsidR="007A4543" w:rsidRPr="00EC036F" w:rsidRDefault="007A4543" w:rsidP="008E5608">
      <w:pPr>
        <w:jc w:val="both"/>
        <w:rPr>
          <w:rFonts w:cs="Arial"/>
          <w:b/>
          <w:u w:val="single"/>
        </w:rPr>
      </w:pPr>
      <w:r w:rsidRPr="00EC036F">
        <w:t>Every term, PLPs are evaluated and re-written</w:t>
      </w:r>
      <w:r w:rsidR="002C2F1D" w:rsidRPr="00EC036F">
        <w:t>, and provision maps termly</w:t>
      </w:r>
      <w:r w:rsidR="00D60BAE" w:rsidRPr="00EC036F">
        <w:t>. At this point</w:t>
      </w:r>
      <w:r w:rsidR="00717B56">
        <w:t>,</w:t>
      </w:r>
      <w:r w:rsidR="00D60BAE" w:rsidRPr="00EC036F">
        <w:t xml:space="preserve"> the SENDC</w:t>
      </w:r>
      <w:r w:rsidRPr="00EC036F">
        <w:t xml:space="preserve">o looks at the </w:t>
      </w:r>
      <w:r w:rsidR="00940E86" w:rsidRPr="00EC036F">
        <w:t xml:space="preserve">curriculum </w:t>
      </w:r>
      <w:r w:rsidRPr="00EC036F">
        <w:t xml:space="preserve">provision evaluations and the effect this </w:t>
      </w:r>
      <w:r w:rsidR="00940E86" w:rsidRPr="00EC036F">
        <w:t xml:space="preserve">curriculum </w:t>
      </w:r>
      <w:r w:rsidRPr="00EC036F">
        <w:t xml:space="preserve">provision has had on progress. </w:t>
      </w:r>
      <w:r w:rsidR="00940E86" w:rsidRPr="00EC036F">
        <w:t>Curriculum impact</w:t>
      </w:r>
      <w:r w:rsidRPr="00EC036F">
        <w:t xml:space="preserve"> meetings happen every half term. These also look at interventions put in place for individual children and how this has impacted upon progress. Annual reviews are held for children with an </w:t>
      </w:r>
      <w:proofErr w:type="gramStart"/>
      <w:r w:rsidRPr="00EC036F">
        <w:t>EHCP</w:t>
      </w:r>
      <w:proofErr w:type="gramEnd"/>
      <w:r w:rsidRPr="00EC036F">
        <w:t xml:space="preserve"> and </w:t>
      </w:r>
      <w:r w:rsidR="00940E86" w:rsidRPr="00EC036F">
        <w:t xml:space="preserve">curriculum </w:t>
      </w:r>
      <w:r w:rsidRPr="00EC036F">
        <w:t xml:space="preserve">provision and targets are </w:t>
      </w:r>
      <w:r w:rsidRPr="00EC036F">
        <w:lastRenderedPageBreak/>
        <w:t xml:space="preserve">reviewed and rewritten. </w:t>
      </w:r>
      <w:r w:rsidR="00940E86" w:rsidRPr="00EC036F">
        <w:t>Cu</w:t>
      </w:r>
      <w:r w:rsidR="00934539">
        <w:t>r</w:t>
      </w:r>
      <w:r w:rsidR="00940E86" w:rsidRPr="00EC036F">
        <w:t>riculum p</w:t>
      </w:r>
      <w:r w:rsidRPr="00EC036F">
        <w:t>rovision is also monitored by the SEN</w:t>
      </w:r>
      <w:r w:rsidR="00D60BAE" w:rsidRPr="00EC036F">
        <w:t>DC</w:t>
      </w:r>
      <w:r w:rsidRPr="00EC036F">
        <w:t xml:space="preserve">o through lesson observations, planning and book </w:t>
      </w:r>
      <w:proofErr w:type="spellStart"/>
      <w:r w:rsidRPr="00EC036F">
        <w:t>scrutinies</w:t>
      </w:r>
      <w:proofErr w:type="spellEnd"/>
      <w:r w:rsidRPr="00EC036F">
        <w:t>, learning walks and reviewing assessment data.</w:t>
      </w:r>
    </w:p>
    <w:p w14:paraId="387C53C3" w14:textId="77777777" w:rsidR="00E9470A" w:rsidRDefault="00E9470A" w:rsidP="008E5608">
      <w:pPr>
        <w:jc w:val="both"/>
        <w:rPr>
          <w:rFonts w:cs="Arial"/>
          <w:b/>
          <w:u w:val="single"/>
        </w:rPr>
      </w:pPr>
    </w:p>
    <w:p w14:paraId="14A642F9" w14:textId="77777777" w:rsidR="0019476E" w:rsidRDefault="0019476E" w:rsidP="008E5608">
      <w:pPr>
        <w:jc w:val="both"/>
        <w:rPr>
          <w:rFonts w:cs="Arial"/>
          <w:b/>
          <w:u w:val="single"/>
        </w:rPr>
      </w:pPr>
      <w:r>
        <w:rPr>
          <w:rFonts w:cs="Arial"/>
          <w:b/>
          <w:u w:val="single"/>
        </w:rPr>
        <w:t>Assessment</w:t>
      </w:r>
    </w:p>
    <w:p w14:paraId="496409D9" w14:textId="77777777" w:rsidR="002C2F1D" w:rsidRDefault="002C2F1D" w:rsidP="008E5608">
      <w:pPr>
        <w:jc w:val="both"/>
        <w:rPr>
          <w:rFonts w:cs="Arial"/>
          <w:b/>
          <w:u w:val="single"/>
        </w:rPr>
      </w:pPr>
      <w:r>
        <w:t xml:space="preserve">All children are assessed </w:t>
      </w:r>
      <w:proofErr w:type="gramStart"/>
      <w:r>
        <w:t xml:space="preserve">through the use </w:t>
      </w:r>
      <w:r w:rsidRPr="00EC036F">
        <w:t>of</w:t>
      </w:r>
      <w:proofErr w:type="gramEnd"/>
      <w:r w:rsidRPr="00EC036F">
        <w:t xml:space="preserve"> </w:t>
      </w:r>
      <w:r w:rsidR="00940E86" w:rsidRPr="00EC036F">
        <w:t xml:space="preserve">formative </w:t>
      </w:r>
      <w:r w:rsidRPr="00EC036F">
        <w:t xml:space="preserve">assessment </w:t>
      </w:r>
      <w:r>
        <w:t xml:space="preserve">on a daily basis at </w:t>
      </w:r>
      <w:proofErr w:type="spellStart"/>
      <w:r>
        <w:t>Holybrook</w:t>
      </w:r>
      <w:proofErr w:type="spellEnd"/>
      <w:r>
        <w:t xml:space="preserve">. Formal assessments of learning take place half termly and PLPs are assessed and reviewed termly. Assessment is a continuing </w:t>
      </w:r>
      <w:proofErr w:type="gramStart"/>
      <w:r>
        <w:t>process</w:t>
      </w:r>
      <w:proofErr w:type="gramEnd"/>
      <w:r>
        <w:t xml:space="preserve"> and we use a graduated approach assessment cycle of: Assess - Plan – Do – Review. Teachers are equipped with a range of different assessment tools to suit the need of the child and they differentiate this appropriately. To assess the type of need of the pupil and the range, teachers and the SENDCo use the range guidance published on Bradford Schools Online. On a half-termly basis the SENDCo looks at the data of all SEND children and uploads it into a monitoring assessment tool developed by the SENDCo. This information is then used to monitor progress and </w:t>
      </w:r>
      <w:r w:rsidR="00940E86" w:rsidRPr="00EC036F">
        <w:t xml:space="preserve">curriculum </w:t>
      </w:r>
      <w:r w:rsidRPr="00EC036F">
        <w:t xml:space="preserve">provision and helps the </w:t>
      </w:r>
      <w:proofErr w:type="gramStart"/>
      <w:r w:rsidRPr="00EC036F">
        <w:t>SENDCo</w:t>
      </w:r>
      <w:proofErr w:type="gramEnd"/>
      <w:r w:rsidRPr="00EC036F">
        <w:t xml:space="preserve"> </w:t>
      </w:r>
      <w:r w:rsidR="0065488C" w:rsidRPr="00EC036F">
        <w:t xml:space="preserve">and teachers </w:t>
      </w:r>
      <w:r w:rsidRPr="00EC036F">
        <w:t xml:space="preserve">put new </w:t>
      </w:r>
      <w:r w:rsidR="0065488C" w:rsidRPr="00EC036F">
        <w:t xml:space="preserve">curriculum </w:t>
      </w:r>
      <w:r w:rsidRPr="00EC036F">
        <w:t xml:space="preserve">provision is place via </w:t>
      </w:r>
      <w:r w:rsidR="0065488C" w:rsidRPr="00EC036F">
        <w:t xml:space="preserve">Curriculum Impact </w:t>
      </w:r>
      <w:r w:rsidRPr="00EC036F">
        <w:t>Meeting</w:t>
      </w:r>
      <w:r w:rsidR="0065488C" w:rsidRPr="00EC036F">
        <w:t>s</w:t>
      </w:r>
      <w:r w:rsidRPr="00EC036F">
        <w:t xml:space="preserve"> and </w:t>
      </w:r>
      <w:r>
        <w:t>SEND meetings with teachers which occur at least termly.</w:t>
      </w:r>
    </w:p>
    <w:p w14:paraId="1DDA96F0" w14:textId="77777777" w:rsidR="0019476E" w:rsidRDefault="0019476E" w:rsidP="008E5608">
      <w:pPr>
        <w:jc w:val="both"/>
        <w:rPr>
          <w:rFonts w:cs="Arial"/>
          <w:b/>
          <w:u w:val="single"/>
        </w:rPr>
      </w:pPr>
      <w:r>
        <w:rPr>
          <w:rFonts w:cs="Arial"/>
          <w:b/>
          <w:u w:val="single"/>
        </w:rPr>
        <w:t>Consulting parents</w:t>
      </w:r>
    </w:p>
    <w:p w14:paraId="65DD2524" w14:textId="54B68F08" w:rsidR="00C75058" w:rsidRDefault="00C75058" w:rsidP="008E5608">
      <w:pPr>
        <w:jc w:val="both"/>
        <w:rPr>
          <w:rFonts w:cs="Arial"/>
          <w:b/>
          <w:u w:val="single"/>
        </w:rPr>
      </w:pPr>
      <w:r>
        <w:t>Parents’ evenings are held termly</w:t>
      </w:r>
      <w:r w:rsidR="00934539">
        <w:t xml:space="preserve">. This year they have been held remotely </w:t>
      </w:r>
      <w:proofErr w:type="gramStart"/>
      <w:r w:rsidR="00934539">
        <w:t>as a result of</w:t>
      </w:r>
      <w:proofErr w:type="gramEnd"/>
      <w:r w:rsidR="00934539">
        <w:t xml:space="preserve"> Covid 19 pandemic</w:t>
      </w:r>
      <w:r>
        <w:t xml:space="preserve">. At these points parents of children with SEND </w:t>
      </w:r>
      <w:proofErr w:type="gramStart"/>
      <w:r>
        <w:t>have the opportunity to</w:t>
      </w:r>
      <w:proofErr w:type="gramEnd"/>
      <w:r>
        <w:t xml:space="preserve"> speak to the class teacher about PLP targets </w:t>
      </w:r>
      <w:r w:rsidRPr="00EC036F">
        <w:t xml:space="preserve">and </w:t>
      </w:r>
      <w:r w:rsidR="0065488C" w:rsidRPr="00EC036F">
        <w:t xml:space="preserve">curriculum </w:t>
      </w:r>
      <w:r w:rsidRPr="00EC036F">
        <w:t>provision</w:t>
      </w:r>
      <w:r w:rsidR="00D57248" w:rsidRPr="00EC036F">
        <w:t xml:space="preserve">. </w:t>
      </w:r>
      <w:r w:rsidR="00D57248">
        <w:t xml:space="preserve">During these meetings, parents </w:t>
      </w:r>
      <w:r w:rsidR="00934539">
        <w:t>discuss</w:t>
      </w:r>
      <w:r>
        <w:t xml:space="preserve"> ways in which they can help their children work towards their targets at home. If parents need to contact the school at any other time, they are free to make an appointment with the SENDCo or class teacher to speak about their child (contact details at the end of document). The SENDCo may also contact the parent at other times during the year to speak about their child’s need, for example, if an external agency is coming into </w:t>
      </w:r>
      <w:proofErr w:type="gramStart"/>
      <w:r>
        <w:t>school</w:t>
      </w:r>
      <w:proofErr w:type="gramEnd"/>
      <w:r>
        <w:t xml:space="preserve"> they may wish to discuss this with parents or hold a parental meeting with the external agency.</w:t>
      </w:r>
    </w:p>
    <w:p w14:paraId="6FE6B981" w14:textId="77777777" w:rsidR="00C618CE" w:rsidRDefault="0019476E" w:rsidP="008E5608">
      <w:pPr>
        <w:jc w:val="both"/>
        <w:rPr>
          <w:rFonts w:cs="Arial"/>
          <w:b/>
          <w:u w:val="single"/>
        </w:rPr>
      </w:pPr>
      <w:r>
        <w:rPr>
          <w:rFonts w:cs="Arial"/>
          <w:b/>
          <w:u w:val="single"/>
        </w:rPr>
        <w:t xml:space="preserve">Involving pupils in their education </w:t>
      </w:r>
    </w:p>
    <w:p w14:paraId="01678B7E" w14:textId="77777777" w:rsidR="00D60BAE" w:rsidRPr="00C618CE" w:rsidRDefault="00F33C75" w:rsidP="008E5608">
      <w:pPr>
        <w:jc w:val="both"/>
        <w:rPr>
          <w:rFonts w:cs="Arial"/>
          <w:b/>
          <w:u w:val="single"/>
        </w:rPr>
      </w:pPr>
      <w:r>
        <w:t xml:space="preserve">All children in school are aware of their individual targets and </w:t>
      </w:r>
      <w:proofErr w:type="gramStart"/>
      <w:r>
        <w:t>have the opportunity to</w:t>
      </w:r>
      <w:proofErr w:type="gramEnd"/>
      <w:r>
        <w:t xml:space="preserve"> discuss these with their class teacher. Children with SEND have input when writing the PLP and their ‘pupil voice’ is gathered when writing these plans</w:t>
      </w:r>
      <w:r w:rsidR="00D60BAE">
        <w:t xml:space="preserve"> and is recorded on the document (see below). </w:t>
      </w:r>
      <w:r>
        <w:t xml:space="preserve"> This gives them the opportunity to explain how they feel about their education and make suggestions for what they would like to do in the future or would like to get better at. </w:t>
      </w:r>
    </w:p>
    <w:p w14:paraId="7C5F1D89" w14:textId="77777777" w:rsidR="00476458" w:rsidRDefault="00995E17" w:rsidP="008E5608">
      <w:pPr>
        <w:jc w:val="both"/>
      </w:pPr>
      <w:r>
        <w:rPr>
          <w:noProof/>
          <w:lang w:eastAsia="en-GB"/>
        </w:rPr>
        <w:drawing>
          <wp:anchor distT="0" distB="0" distL="114300" distR="114300" simplePos="0" relativeHeight="251666432" behindDoc="1" locked="0" layoutInCell="1" allowOverlap="1" wp14:anchorId="063A2962" wp14:editId="005252F2">
            <wp:simplePos x="0" y="0"/>
            <wp:positionH relativeFrom="column">
              <wp:posOffset>9525</wp:posOffset>
            </wp:positionH>
            <wp:positionV relativeFrom="paragraph">
              <wp:posOffset>273050</wp:posOffset>
            </wp:positionV>
            <wp:extent cx="6645910" cy="3386455"/>
            <wp:effectExtent l="0" t="0" r="2540" b="4445"/>
            <wp:wrapTight wrapText="bothSides">
              <wp:wrapPolygon edited="0">
                <wp:start x="0" y="0"/>
                <wp:lineTo x="0" y="21507"/>
                <wp:lineTo x="21546" y="21507"/>
                <wp:lineTo x="21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645910" cy="3386455"/>
                    </a:xfrm>
                    <a:prstGeom prst="rect">
                      <a:avLst/>
                    </a:prstGeom>
                  </pic:spPr>
                </pic:pic>
              </a:graphicData>
            </a:graphic>
          </wp:anchor>
        </w:drawing>
      </w:r>
    </w:p>
    <w:p w14:paraId="67FD1CE2" w14:textId="77777777" w:rsidR="00476458" w:rsidRDefault="00476458" w:rsidP="008E5608">
      <w:pPr>
        <w:jc w:val="both"/>
      </w:pPr>
    </w:p>
    <w:p w14:paraId="744A091A" w14:textId="77777777" w:rsidR="00F33C75" w:rsidRDefault="00F33C75" w:rsidP="008E5608">
      <w:pPr>
        <w:jc w:val="both"/>
      </w:pPr>
      <w:r>
        <w:lastRenderedPageBreak/>
        <w:t>Children with an EHCP are involved in their annual review meetings where they are asked their opinions about how they are getting on at school and they are asked if they want to share any information or wishes.</w:t>
      </w:r>
    </w:p>
    <w:p w14:paraId="574C2613" w14:textId="51E7F8D7" w:rsidR="00F33C75" w:rsidRDefault="00F33C75" w:rsidP="008E5608">
      <w:pPr>
        <w:jc w:val="both"/>
        <w:rPr>
          <w:rFonts w:cs="Arial"/>
          <w:b/>
          <w:u w:val="single"/>
        </w:rPr>
      </w:pPr>
      <w:r>
        <w:t>Pupils with Social, Emotional and Mental Healt</w:t>
      </w:r>
      <w:r w:rsidR="00E9470A">
        <w:t xml:space="preserve">h Needs (SEMH) </w:t>
      </w:r>
      <w:r>
        <w:t xml:space="preserve">meet with the behaviour </w:t>
      </w:r>
      <w:r w:rsidR="00E9470A">
        <w:t xml:space="preserve">or learning </w:t>
      </w:r>
      <w:r>
        <w:t xml:space="preserve">mentor each week to evaluate their weekly targets and consider how to </w:t>
      </w:r>
      <w:r w:rsidR="00B071E7">
        <w:t>achieve</w:t>
      </w:r>
      <w:r>
        <w:t xml:space="preserve"> these each week. </w:t>
      </w:r>
      <w:r w:rsidR="00934539">
        <w:t xml:space="preserve">We have widened our provision for supporting pupil with emotional or mental health needs by offering drop-in sessions with the learning mentor. </w:t>
      </w:r>
    </w:p>
    <w:p w14:paraId="1F5D9C05" w14:textId="77777777" w:rsidR="0019476E" w:rsidRDefault="0019476E" w:rsidP="008E5608">
      <w:pPr>
        <w:jc w:val="both"/>
        <w:rPr>
          <w:rFonts w:cs="Arial"/>
          <w:b/>
          <w:u w:val="single"/>
        </w:rPr>
      </w:pPr>
      <w:r>
        <w:rPr>
          <w:rFonts w:cs="Arial"/>
          <w:b/>
          <w:u w:val="single"/>
        </w:rPr>
        <w:t>Engaging pupils in activities with their peers</w:t>
      </w:r>
    </w:p>
    <w:p w14:paraId="65371B9E" w14:textId="3DD993E7" w:rsidR="00BB5A39" w:rsidRDefault="00E25372" w:rsidP="00E25372">
      <w:pPr>
        <w:jc w:val="both"/>
      </w:pPr>
      <w:r>
        <w:t xml:space="preserve">All </w:t>
      </w:r>
      <w:r w:rsidR="0052141D">
        <w:t>break time</w:t>
      </w:r>
      <w:r w:rsidR="00934539">
        <w:t xml:space="preserve"> and lunchtime activities</w:t>
      </w:r>
      <w:r>
        <w:t xml:space="preserve"> are open to children with SEND and reasonable adjustments will always be made to help them to participate.</w:t>
      </w:r>
      <w:r w:rsidR="00BB5A39">
        <w:t xml:space="preserve"> </w:t>
      </w:r>
    </w:p>
    <w:p w14:paraId="25C3B2B7" w14:textId="1F2612AE" w:rsidR="00717B56" w:rsidRDefault="00BB5A39" w:rsidP="008E5608">
      <w:pPr>
        <w:jc w:val="both"/>
      </w:pPr>
      <w:r>
        <w:t xml:space="preserve">Children with SEND are encouraged to work alongside their peers to develop their speaking and listening skills and social skills. This is done as part of normal practice within the classroom or during intervention groups. </w:t>
      </w:r>
    </w:p>
    <w:p w14:paraId="0DE91622" w14:textId="5C896CF6" w:rsidR="0019476E" w:rsidRPr="00717B56" w:rsidRDefault="0019476E" w:rsidP="008E5608">
      <w:pPr>
        <w:jc w:val="both"/>
      </w:pPr>
      <w:r>
        <w:rPr>
          <w:rFonts w:cs="Arial"/>
          <w:b/>
          <w:u w:val="single"/>
        </w:rPr>
        <w:t xml:space="preserve">Supporting social </w:t>
      </w:r>
      <w:r w:rsidR="00717B56">
        <w:rPr>
          <w:rFonts w:cs="Arial"/>
          <w:b/>
          <w:u w:val="single"/>
        </w:rPr>
        <w:t>and emotional d</w:t>
      </w:r>
      <w:r>
        <w:rPr>
          <w:rFonts w:cs="Arial"/>
          <w:b/>
          <w:u w:val="single"/>
        </w:rPr>
        <w:t>evelopment</w:t>
      </w:r>
      <w:r w:rsidR="00717B56">
        <w:rPr>
          <w:rFonts w:cs="Arial"/>
          <w:b/>
          <w:u w:val="single"/>
        </w:rPr>
        <w:t xml:space="preserve"> and wellbeing</w:t>
      </w:r>
    </w:p>
    <w:p w14:paraId="4202CED9" w14:textId="77777777" w:rsidR="00E25372" w:rsidRDefault="00E25372" w:rsidP="00E25372">
      <w:pPr>
        <w:jc w:val="both"/>
      </w:pPr>
      <w:r>
        <w:t xml:space="preserve">The school takes pride in its friendly and positive ethos. Clear and well-established behaviour policies help all pupils to achieve their best. Sometimes, a child needs to have behaviour targets included their PLP. We work closely and co-operatively with parents to address any issues. </w:t>
      </w:r>
    </w:p>
    <w:p w14:paraId="00C63307" w14:textId="77777777" w:rsidR="00E25372" w:rsidRDefault="00E25372" w:rsidP="00E25372">
      <w:pPr>
        <w:jc w:val="both"/>
      </w:pPr>
      <w:r>
        <w:t xml:space="preserve">We have a pastoral team made up of a learning mentor and a behaviour support worker who support children by mentoring them on any issues they may have regarding behaviour, social or emotional factors. This is done either on a </w:t>
      </w:r>
      <w:proofErr w:type="gramStart"/>
      <w:r>
        <w:t>one to one</w:t>
      </w:r>
      <w:proofErr w:type="gramEnd"/>
      <w:r>
        <w:t xml:space="preserve"> basis or in a small group. Pastoral groups are delivered on a range of themes to support children with SEMH difficulties including friendship skills, managing anger, recognising </w:t>
      </w:r>
      <w:proofErr w:type="gramStart"/>
      <w:r>
        <w:t>emotions</w:t>
      </w:r>
      <w:proofErr w:type="gramEnd"/>
      <w:r>
        <w:t xml:space="preserve"> and developing social skills. The groups are assessed and reviewed each term by teachers, the SENDCo, behaviour support worker and learning mentor. </w:t>
      </w:r>
    </w:p>
    <w:p w14:paraId="4EA03F00" w14:textId="5F0BEA25" w:rsidR="00E25372" w:rsidRDefault="00E25372" w:rsidP="00E25372">
      <w:pPr>
        <w:jc w:val="both"/>
      </w:pPr>
      <w:r>
        <w:t xml:space="preserve">SEND pupil interviews and questionnaires happen each year at </w:t>
      </w:r>
      <w:proofErr w:type="spellStart"/>
      <w:r>
        <w:t>Holybrook</w:t>
      </w:r>
      <w:proofErr w:type="spellEnd"/>
      <w:r>
        <w:t xml:space="preserve"> to ensure that these children have the chance to express their views about their education and the school. We have a school council in school and children </w:t>
      </w:r>
      <w:proofErr w:type="gramStart"/>
      <w:r>
        <w:t>have the opportunity to</w:t>
      </w:r>
      <w:proofErr w:type="gramEnd"/>
      <w:r>
        <w:t xml:space="preserve"> make suggestions to their class members to take to school council meetings. </w:t>
      </w:r>
    </w:p>
    <w:p w14:paraId="6467C9F6" w14:textId="0B433385" w:rsidR="00B35E3B" w:rsidRPr="00934539" w:rsidRDefault="00934539" w:rsidP="008E5608">
      <w:pPr>
        <w:jc w:val="both"/>
      </w:pPr>
      <w:r>
        <w:t xml:space="preserve">In 2021, the school launched the Zones of Regulation tool across the school.  This was because we recognised that many pupils might be experiencing emotional or mental health difficulties </w:t>
      </w:r>
      <w:proofErr w:type="gramStart"/>
      <w:r>
        <w:t>as a result of</w:t>
      </w:r>
      <w:proofErr w:type="gramEnd"/>
      <w:r>
        <w:t xml:space="preserve"> the Coronavirus lockdown. Children are now learning the skills of self-regulation and are developing their toolkits of support to use when they are feeling sad, </w:t>
      </w:r>
      <w:proofErr w:type="gramStart"/>
      <w:r>
        <w:t>angry</w:t>
      </w:r>
      <w:proofErr w:type="gramEnd"/>
      <w:r>
        <w:t xml:space="preserve"> or anxious. </w:t>
      </w:r>
    </w:p>
    <w:p w14:paraId="7CBBCD49" w14:textId="77777777" w:rsidR="0019476E" w:rsidRDefault="0019476E" w:rsidP="008E5608">
      <w:pPr>
        <w:jc w:val="both"/>
        <w:rPr>
          <w:rFonts w:cs="Arial"/>
          <w:b/>
          <w:u w:val="single"/>
        </w:rPr>
      </w:pPr>
      <w:r>
        <w:rPr>
          <w:rFonts w:cs="Arial"/>
          <w:b/>
          <w:u w:val="single"/>
        </w:rPr>
        <w:t>Supporting children through transition</w:t>
      </w:r>
    </w:p>
    <w:p w14:paraId="4BBF7170" w14:textId="77777777" w:rsidR="000B5B07" w:rsidRDefault="000B5B07" w:rsidP="008E5608">
      <w:pPr>
        <w:jc w:val="both"/>
      </w:pPr>
      <w:proofErr w:type="spellStart"/>
      <w:r>
        <w:t>Holybrook</w:t>
      </w:r>
      <w:proofErr w:type="spellEnd"/>
      <w:r>
        <w:t xml:space="preserve"> has robust procedures for ensuring a smooth transition for pupils either starting at our school or moving on to another</w:t>
      </w:r>
      <w:r w:rsidR="00942EBD">
        <w:t xml:space="preserve"> educational</w:t>
      </w:r>
      <w:r>
        <w:t xml:space="preserve"> setting. </w:t>
      </w:r>
    </w:p>
    <w:p w14:paraId="0A6FC2B6" w14:textId="77777777" w:rsidR="0086496B" w:rsidRDefault="00942EBD" w:rsidP="008E5608">
      <w:pPr>
        <w:jc w:val="both"/>
      </w:pPr>
      <w:r>
        <w:t xml:space="preserve">For children moving on, </w:t>
      </w:r>
      <w:r w:rsidR="0086496B">
        <w:t>including those in Year 6</w:t>
      </w:r>
      <w:r w:rsidR="000B5B07">
        <w:t xml:space="preserve">, the SENDCo arranges transition meetings with the receiving school to ensure that all relevant information is shared </w:t>
      </w:r>
      <w:r w:rsidR="0086496B">
        <w:t xml:space="preserve">and </w:t>
      </w:r>
      <w:r>
        <w:t xml:space="preserve">to </w:t>
      </w:r>
      <w:r w:rsidR="0086496B">
        <w:t xml:space="preserve">promote </w:t>
      </w:r>
      <w:r>
        <w:t xml:space="preserve">the </w:t>
      </w:r>
      <w:r w:rsidR="0086496B" w:rsidRPr="00EC036F">
        <w:t xml:space="preserve">continuity of </w:t>
      </w:r>
      <w:r w:rsidR="0065488C" w:rsidRPr="00EC036F">
        <w:t xml:space="preserve">curriculum </w:t>
      </w:r>
      <w:r w:rsidR="0086496B" w:rsidRPr="00EC036F">
        <w:t xml:space="preserve">provision. </w:t>
      </w:r>
      <w:r w:rsidR="000B5B07" w:rsidRPr="00EC036F">
        <w:t>Where a child has complex needs</w:t>
      </w:r>
      <w:r w:rsidR="0086496B" w:rsidRPr="00EC036F">
        <w:t xml:space="preserve"> and is </w:t>
      </w:r>
      <w:r w:rsidRPr="00EC036F">
        <w:t xml:space="preserve">potentially </w:t>
      </w:r>
      <w:r w:rsidR="0086496B" w:rsidRPr="00EC036F">
        <w:t>changing settings including</w:t>
      </w:r>
      <w:r w:rsidRPr="00EC036F">
        <w:t xml:space="preserve"> more specialist provisions</w:t>
      </w:r>
      <w:r w:rsidR="000B5B07">
        <w:t xml:space="preserve">, we can accompany the child and parents on visits to possible schools to consider provision and preferences. </w:t>
      </w:r>
    </w:p>
    <w:p w14:paraId="7C8D7E9B" w14:textId="77777777" w:rsidR="0086496B" w:rsidRDefault="000B5B07" w:rsidP="008E5608">
      <w:pPr>
        <w:jc w:val="both"/>
      </w:pPr>
      <w:r>
        <w:t xml:space="preserve">At EHCP </w:t>
      </w:r>
      <w:r w:rsidR="00942EBD">
        <w:t>reviews in Y</w:t>
      </w:r>
      <w:r>
        <w:t>ear</w:t>
      </w:r>
      <w:r w:rsidR="00942EBD">
        <w:t>s</w:t>
      </w:r>
      <w:r>
        <w:t xml:space="preserve"> 5 and 6</w:t>
      </w:r>
      <w:r w:rsidR="0086496B">
        <w:t>,</w:t>
      </w:r>
      <w:r>
        <w:t xml:space="preserve"> transition to secondary school is discussed and preferenc</w:t>
      </w:r>
      <w:r w:rsidR="0086496B">
        <w:t>es are written into the review, and where possible</w:t>
      </w:r>
      <w:r w:rsidR="005C4FD8">
        <w:t xml:space="preserve"> and appropriate</w:t>
      </w:r>
      <w:r w:rsidR="0086496B">
        <w:t xml:space="preserve">, secondary school staff are invited to attend. </w:t>
      </w:r>
    </w:p>
    <w:p w14:paraId="5B3EECE1" w14:textId="2C1C3070" w:rsidR="0086496B" w:rsidRDefault="0086496B" w:rsidP="008E5608">
      <w:pPr>
        <w:jc w:val="both"/>
      </w:pPr>
      <w:r>
        <w:t xml:space="preserve">Equally, if a child with SEND is transitioning to </w:t>
      </w:r>
      <w:proofErr w:type="spellStart"/>
      <w:r>
        <w:t>Holybrook</w:t>
      </w:r>
      <w:proofErr w:type="spellEnd"/>
      <w:r>
        <w:t xml:space="preserve"> from a different setting, the SENDCo will liaise closely with the setting, ensuring the smooth transfer of information so that </w:t>
      </w:r>
      <w:r w:rsidRPr="00EC036F">
        <w:t xml:space="preserve">the correct </w:t>
      </w:r>
      <w:r w:rsidR="0065488C" w:rsidRPr="00EC036F">
        <w:t xml:space="preserve">curriculum </w:t>
      </w:r>
      <w:r w:rsidRPr="00EC036F">
        <w:t xml:space="preserve">provision </w:t>
      </w:r>
      <w:r>
        <w:t xml:space="preserve">is in place for the child when they start with us.  Such transition arrangements could include the SENDCo and other </w:t>
      </w:r>
      <w:proofErr w:type="spellStart"/>
      <w:r>
        <w:t>Holybrook</w:t>
      </w:r>
      <w:proofErr w:type="spellEnd"/>
      <w:r>
        <w:t xml:space="preserve"> staff visiting the child in their current setting and meeting with staff and parents to gather information.  </w:t>
      </w:r>
    </w:p>
    <w:p w14:paraId="507AF83A" w14:textId="1F9A7FA0" w:rsidR="00934539" w:rsidRPr="000B5B07" w:rsidRDefault="00934539" w:rsidP="008E5608">
      <w:pPr>
        <w:jc w:val="both"/>
      </w:pPr>
      <w:r>
        <w:t xml:space="preserve">Some of our pupils with Social, Emotional or Mental Health (SEMH) difficulties and who have EHCPs, might get the opportunity to transition to our Horizons Resourced Provision. When this is the case, transition is carefully planned so that we can ensure that the child feels secure as they change settings. </w:t>
      </w:r>
    </w:p>
    <w:p w14:paraId="0EFB1EA8" w14:textId="3BF7CB9D" w:rsidR="00934539" w:rsidRPr="00717B56" w:rsidRDefault="00934539" w:rsidP="008E5608">
      <w:pPr>
        <w:jc w:val="both"/>
        <w:rPr>
          <w:rFonts w:cs="Arial"/>
          <w:b/>
          <w:u w:val="single"/>
        </w:rPr>
      </w:pPr>
      <w:r w:rsidRPr="00717B56">
        <w:rPr>
          <w:rFonts w:cs="Arial"/>
          <w:b/>
          <w:u w:val="single"/>
        </w:rPr>
        <w:t>Horizons</w:t>
      </w:r>
    </w:p>
    <w:p w14:paraId="2C4B0773" w14:textId="38FC5BEA" w:rsidR="00934539" w:rsidRPr="00934539" w:rsidRDefault="00934539" w:rsidP="008E5608">
      <w:pPr>
        <w:jc w:val="both"/>
        <w:rPr>
          <w:rFonts w:cs="Arial"/>
          <w:bCs/>
        </w:rPr>
      </w:pPr>
      <w:r w:rsidRPr="00717B56">
        <w:rPr>
          <w:rFonts w:cs="Arial"/>
          <w:bCs/>
        </w:rPr>
        <w:lastRenderedPageBreak/>
        <w:t>In the 2020-21 academic year, our Horizons centre has successfully transitioned from a turnaround centre to a</w:t>
      </w:r>
      <w:r w:rsidR="00926553" w:rsidRPr="00717B56">
        <w:rPr>
          <w:rFonts w:cs="Arial"/>
          <w:bCs/>
        </w:rPr>
        <w:t>n</w:t>
      </w:r>
      <w:r w:rsidRPr="00717B56">
        <w:rPr>
          <w:rFonts w:cs="Arial"/>
          <w:bCs/>
        </w:rPr>
        <w:t xml:space="preserve"> SEMH Resourced Provision. Over the year, pupil numbers have been steadily increasing </w:t>
      </w:r>
      <w:r w:rsidR="00926553" w:rsidRPr="00717B56">
        <w:rPr>
          <w:rFonts w:cs="Arial"/>
          <w:bCs/>
        </w:rPr>
        <w:t xml:space="preserve">with pupils from both </w:t>
      </w:r>
      <w:proofErr w:type="spellStart"/>
      <w:r w:rsidR="00926553" w:rsidRPr="00717B56">
        <w:rPr>
          <w:rFonts w:cs="Arial"/>
          <w:bCs/>
        </w:rPr>
        <w:t>Holybrook</w:t>
      </w:r>
      <w:proofErr w:type="spellEnd"/>
      <w:r w:rsidR="00926553" w:rsidRPr="00717B56">
        <w:rPr>
          <w:rFonts w:cs="Arial"/>
          <w:bCs/>
        </w:rPr>
        <w:t xml:space="preserve"> and other schools across Bradford </w:t>
      </w:r>
      <w:r w:rsidRPr="00717B56">
        <w:rPr>
          <w:rFonts w:cs="Arial"/>
          <w:bCs/>
        </w:rPr>
        <w:t>and</w:t>
      </w:r>
      <w:r w:rsidR="00926553" w:rsidRPr="00717B56">
        <w:rPr>
          <w:rFonts w:cs="Arial"/>
          <w:bCs/>
        </w:rPr>
        <w:t xml:space="preserve"> it is hope that it will reach its full capacity of 16 pupils in 2021-22.  We have recruited Carly </w:t>
      </w:r>
      <w:proofErr w:type="spellStart"/>
      <w:r w:rsidR="00926553" w:rsidRPr="00717B56">
        <w:rPr>
          <w:rFonts w:cs="Arial"/>
          <w:bCs/>
        </w:rPr>
        <w:t>Waerea</w:t>
      </w:r>
      <w:proofErr w:type="spellEnd"/>
      <w:r w:rsidR="00926553" w:rsidRPr="00717B56">
        <w:rPr>
          <w:rFonts w:cs="Arial"/>
          <w:bCs/>
        </w:rPr>
        <w:t xml:space="preserve"> as centre leader and SENDCo and she has overseen all aspects of pupil transition since starting in January 2021.</w:t>
      </w:r>
      <w:r w:rsidR="00926553">
        <w:rPr>
          <w:rFonts w:cs="Arial"/>
          <w:bCs/>
        </w:rPr>
        <w:t xml:space="preserve"> </w:t>
      </w:r>
    </w:p>
    <w:p w14:paraId="18125539" w14:textId="051EF073" w:rsidR="0019476E" w:rsidRDefault="0019476E" w:rsidP="008E5608">
      <w:pPr>
        <w:jc w:val="both"/>
        <w:rPr>
          <w:rFonts w:cs="Arial"/>
          <w:b/>
          <w:u w:val="single"/>
        </w:rPr>
      </w:pPr>
      <w:r>
        <w:rPr>
          <w:rFonts w:cs="Arial"/>
          <w:b/>
          <w:u w:val="single"/>
        </w:rPr>
        <w:t>Training</w:t>
      </w:r>
    </w:p>
    <w:p w14:paraId="125C2B40" w14:textId="77777777" w:rsidR="00485999" w:rsidRDefault="00485999" w:rsidP="008E5608">
      <w:pPr>
        <w:jc w:val="both"/>
      </w:pPr>
      <w:r>
        <w:t xml:space="preserve">Training in SEND forms part of the continuing professional development planned for all staff. This includes staff meetings and training days. Other training for individual members of staff or groups of staff is provided according to identified individual need. </w:t>
      </w:r>
    </w:p>
    <w:p w14:paraId="74F3EAEC" w14:textId="446688D7" w:rsidR="00485999" w:rsidRDefault="00485999" w:rsidP="008E5608">
      <w:pPr>
        <w:jc w:val="both"/>
      </w:pPr>
      <w:r>
        <w:t xml:space="preserve">The SENDCo keeps </w:t>
      </w:r>
      <w:proofErr w:type="gramStart"/>
      <w:r>
        <w:t>up-to-date</w:t>
      </w:r>
      <w:proofErr w:type="gramEnd"/>
      <w:r>
        <w:t xml:space="preserve"> with local and national develop</w:t>
      </w:r>
      <w:r w:rsidR="005C4FD8">
        <w:t>ments and attends meetings half-</w:t>
      </w:r>
      <w:r>
        <w:t xml:space="preserve">termly with the Exceed SENDCo network to discuss this. </w:t>
      </w:r>
      <w:r w:rsidR="00926553">
        <w:t>Bradford SENDCo Network m</w:t>
      </w:r>
      <w:r>
        <w:t xml:space="preserve">eetings </w:t>
      </w:r>
      <w:r w:rsidR="00926553">
        <w:t>run by</w:t>
      </w:r>
      <w:r>
        <w:t xml:space="preserve"> Bradford LA are also attended</w:t>
      </w:r>
      <w:r w:rsidR="00926553">
        <w:t>.</w:t>
      </w:r>
    </w:p>
    <w:p w14:paraId="4C88542C" w14:textId="77777777" w:rsidR="00485999" w:rsidRDefault="00485999" w:rsidP="008E5608">
      <w:pPr>
        <w:jc w:val="both"/>
      </w:pPr>
      <w:r>
        <w:t xml:space="preserve">Class teachers need an in-depth knowledge to assist children in their class. If training for a particular need is identified or recommended, the class teacher will attend this to support their teaching and understanding of the needs of their children. </w:t>
      </w:r>
    </w:p>
    <w:p w14:paraId="25120051" w14:textId="06F3ABEA" w:rsidR="00485999" w:rsidRDefault="00485999" w:rsidP="008E5608">
      <w:pPr>
        <w:jc w:val="both"/>
      </w:pPr>
      <w:r w:rsidRPr="00EC036F">
        <w:t xml:space="preserve">Teaching assistants need support in delivering appropriate </w:t>
      </w:r>
      <w:r w:rsidR="0065488C" w:rsidRPr="00EC036F">
        <w:t xml:space="preserve">curriculum </w:t>
      </w:r>
      <w:r w:rsidRPr="00EC036F">
        <w:t xml:space="preserve">interventions for individuals or groups in their class. If a new </w:t>
      </w:r>
      <w:r w:rsidR="0065488C" w:rsidRPr="00EC036F">
        <w:t xml:space="preserve">curriculum </w:t>
      </w:r>
      <w:r w:rsidRPr="00EC036F">
        <w:t xml:space="preserve">intervention is to be run, we will ensure that these teaching assistants are well trained and confident with </w:t>
      </w:r>
      <w:r>
        <w:t xml:space="preserve">the intervention before they start delivering it. Professional development is very </w:t>
      </w:r>
      <w:proofErr w:type="gramStart"/>
      <w:r>
        <w:t>important</w:t>
      </w:r>
      <w:proofErr w:type="gramEnd"/>
      <w:r>
        <w:t xml:space="preserve"> and it ensures that all adults are well equipped to manage and support the needs of the children they work with. </w:t>
      </w:r>
    </w:p>
    <w:p w14:paraId="4D16EF06" w14:textId="6FD7B2BB" w:rsidR="00926553" w:rsidRDefault="00926553" w:rsidP="008E5608">
      <w:pPr>
        <w:jc w:val="both"/>
      </w:pPr>
      <w:r>
        <w:t xml:space="preserve">In </w:t>
      </w:r>
      <w:r w:rsidR="00717B56">
        <w:t>20</w:t>
      </w:r>
      <w:r>
        <w:t>20</w:t>
      </w:r>
      <w:r w:rsidR="00717B56">
        <w:t>-</w:t>
      </w:r>
      <w:r>
        <w:t xml:space="preserve">21, all staff have received training on interventions such as Precision Teaching and the Zones of Regulation which have benefited our SEND pupils. </w:t>
      </w:r>
    </w:p>
    <w:p w14:paraId="3EA2DF38" w14:textId="7AC35B5F" w:rsidR="00485999" w:rsidRDefault="00485999" w:rsidP="008E5608">
      <w:pPr>
        <w:jc w:val="both"/>
        <w:rPr>
          <w:rFonts w:cs="Arial"/>
          <w:b/>
          <w:u w:val="single"/>
        </w:rPr>
      </w:pPr>
      <w:r>
        <w:t xml:space="preserve">The SENDCo also acts as link to a wide range of other specialist agencies, such as Speech and Language Therapy, Bradford’s SEND Support Services, </w:t>
      </w:r>
      <w:r w:rsidR="00717B56">
        <w:t xml:space="preserve">CAMHS, </w:t>
      </w:r>
      <w:r>
        <w:t xml:space="preserve">Educational Psychology, School Health, </w:t>
      </w:r>
      <w:r w:rsidR="00717B56">
        <w:t xml:space="preserve">Hospital Paediatrics, </w:t>
      </w:r>
      <w:r>
        <w:t>Physiotherapy and Occupational Therapy, Hearing and Visually Impaired Services, and parent advice groups such as ones available through Early Help.</w:t>
      </w:r>
    </w:p>
    <w:p w14:paraId="095A3F3D" w14:textId="77777777" w:rsidR="0019476E" w:rsidRDefault="0019476E" w:rsidP="008E5608">
      <w:pPr>
        <w:jc w:val="both"/>
        <w:rPr>
          <w:rFonts w:cs="Arial"/>
          <w:b/>
          <w:u w:val="single"/>
        </w:rPr>
      </w:pPr>
      <w:r>
        <w:rPr>
          <w:rFonts w:cs="Arial"/>
          <w:b/>
          <w:u w:val="single"/>
        </w:rPr>
        <w:t>Accessing other agencies and provision</w:t>
      </w:r>
    </w:p>
    <w:p w14:paraId="6638BD1B" w14:textId="77777777" w:rsidR="00485999" w:rsidRDefault="00485999" w:rsidP="008E5608">
      <w:pPr>
        <w:jc w:val="both"/>
        <w:rPr>
          <w:rFonts w:cs="Arial"/>
          <w:b/>
          <w:u w:val="single"/>
        </w:rPr>
      </w:pPr>
      <w:r>
        <w:t xml:space="preserve">Services can become involved by school referral, referral by other agencies, or directly by parental request. In all cases (except some where there may be issues of child protection) referrals require parental permission. The support given may be assessment, advice, or direct input. We ensure that provision is given to all children who require it. Equipment and provision </w:t>
      </w:r>
      <w:proofErr w:type="gramStart"/>
      <w:r>
        <w:t>is</w:t>
      </w:r>
      <w:proofErr w:type="gramEnd"/>
      <w:r>
        <w:t xml:space="preserve"> ordered according to identified need to ensure best access to the curriculum. Most of this is purchased through school funding. At times we may borrow specialist equipment from support services involved.</w:t>
      </w:r>
    </w:p>
    <w:p w14:paraId="29BBAC9F" w14:textId="77777777" w:rsidR="0019476E" w:rsidRDefault="0019476E" w:rsidP="008E5608">
      <w:pPr>
        <w:jc w:val="both"/>
        <w:rPr>
          <w:rFonts w:cs="Arial"/>
          <w:b/>
          <w:u w:val="single"/>
        </w:rPr>
      </w:pPr>
      <w:r>
        <w:rPr>
          <w:rFonts w:cs="Arial"/>
          <w:b/>
          <w:u w:val="single"/>
        </w:rPr>
        <w:t>Admissions</w:t>
      </w:r>
    </w:p>
    <w:p w14:paraId="1FDA1440" w14:textId="77777777" w:rsidR="00485999" w:rsidRDefault="00485999" w:rsidP="008E5608">
      <w:pPr>
        <w:jc w:val="both"/>
        <w:rPr>
          <w:rFonts w:cs="Arial"/>
          <w:b/>
          <w:u w:val="single"/>
        </w:rPr>
      </w:pPr>
      <w:r>
        <w:t>All admissions are in accordance with the school’s Admission Policy which follows Bradford LEA’s Admission processes. If a child has an Education, Health and Care Plan</w:t>
      </w:r>
      <w:r w:rsidR="002B58B4">
        <w:t>,</w:t>
      </w:r>
      <w:r>
        <w:t xml:space="preserve"> the local authority consults with schools and parents before agreeing a placement. If a child has significant needs but no EHCP, the standard admissions process applies. Successful integration into a new school oft</w:t>
      </w:r>
      <w:r w:rsidR="002B58B4">
        <w:t>en depends on thorough planning. W</w:t>
      </w:r>
      <w:r>
        <w:t xml:space="preserve">e welcome early contact from parents so that we can discuss </w:t>
      </w:r>
      <w:proofErr w:type="gramStart"/>
      <w:r>
        <w:t>needs, and</w:t>
      </w:r>
      <w:proofErr w:type="gramEnd"/>
      <w:r>
        <w:t xml:space="preserve"> anticipate and plan to overcome any potential barriers before the child arrives in school.</w:t>
      </w:r>
    </w:p>
    <w:p w14:paraId="0C478F7A" w14:textId="77777777" w:rsidR="0019476E" w:rsidRDefault="0019476E" w:rsidP="008E5608">
      <w:pPr>
        <w:jc w:val="both"/>
        <w:rPr>
          <w:rFonts w:cs="Arial"/>
          <w:b/>
          <w:u w:val="single"/>
        </w:rPr>
      </w:pPr>
      <w:r>
        <w:rPr>
          <w:rFonts w:cs="Arial"/>
          <w:b/>
          <w:u w:val="single"/>
        </w:rPr>
        <w:t>How do parents voice concerns?</w:t>
      </w:r>
    </w:p>
    <w:p w14:paraId="3BE911D2" w14:textId="7BFF29CE" w:rsidR="00C618CE" w:rsidRDefault="00B30786" w:rsidP="008E5608">
      <w:pPr>
        <w:jc w:val="both"/>
        <w:rPr>
          <w:rFonts w:cs="Arial"/>
          <w:b/>
          <w:u w:val="single"/>
        </w:rPr>
      </w:pPr>
      <w:r>
        <w:t>Most concerns are resolved readily and informally by discussion with the teacher. If not, a matter may be escalated to the SENDCo and the Head of School. Beyond this, a complaint may be taken to the Governing Body</w:t>
      </w:r>
      <w:r w:rsidR="00926553">
        <w:t xml:space="preserve"> using the complaints procedure. </w:t>
      </w:r>
    </w:p>
    <w:p w14:paraId="775D7742" w14:textId="77777777" w:rsidR="0019476E" w:rsidRDefault="0019476E" w:rsidP="00857BB8">
      <w:pPr>
        <w:jc w:val="both"/>
        <w:rPr>
          <w:rFonts w:cs="Arial"/>
          <w:b/>
          <w:u w:val="single"/>
        </w:rPr>
      </w:pPr>
      <w:r>
        <w:rPr>
          <w:rFonts w:cs="Arial"/>
          <w:b/>
          <w:u w:val="single"/>
        </w:rPr>
        <w:t>School’s local offer</w:t>
      </w:r>
    </w:p>
    <w:p w14:paraId="57B5143D" w14:textId="39C4AFCA" w:rsidR="00B30786" w:rsidRPr="00857BB8" w:rsidRDefault="00B30786" w:rsidP="00857BB8">
      <w:pPr>
        <w:jc w:val="both"/>
      </w:pPr>
      <w:r w:rsidRPr="00857BB8">
        <w:t>This is a detailed document which lists the support provided for each area of need at each</w:t>
      </w:r>
      <w:r w:rsidR="00926553">
        <w:t xml:space="preserve"> level of SEND</w:t>
      </w:r>
      <w:r w:rsidRPr="00857BB8">
        <w:t xml:space="preserve">. </w:t>
      </w:r>
    </w:p>
    <w:p w14:paraId="58D64C57" w14:textId="77777777" w:rsidR="00B30786" w:rsidRPr="00857BB8" w:rsidRDefault="00B30786" w:rsidP="00857BB8">
      <w:pPr>
        <w:tabs>
          <w:tab w:val="left" w:pos="5976"/>
        </w:tabs>
        <w:jc w:val="both"/>
      </w:pPr>
      <w:r w:rsidRPr="00857BB8">
        <w:t>It can be found on the school</w:t>
      </w:r>
      <w:r w:rsidR="007564F0" w:rsidRPr="00857BB8">
        <w:t>’</w:t>
      </w:r>
      <w:r w:rsidRPr="00857BB8">
        <w:t xml:space="preserve">s website using this link: </w:t>
      </w:r>
    </w:p>
    <w:p w14:paraId="383F5C91" w14:textId="7E3FC40B" w:rsidR="00717B56" w:rsidRDefault="00717B56" w:rsidP="00857BB8">
      <w:pPr>
        <w:jc w:val="both"/>
      </w:pPr>
      <w:hyperlink r:id="rId16" w:history="1">
        <w:r w:rsidRPr="00717B56">
          <w:rPr>
            <w:color w:val="0000FF"/>
            <w:u w:val="single"/>
          </w:rPr>
          <w:t xml:space="preserve">SEND Local Offer | </w:t>
        </w:r>
        <w:proofErr w:type="spellStart"/>
        <w:r w:rsidRPr="00717B56">
          <w:rPr>
            <w:color w:val="0000FF"/>
            <w:u w:val="single"/>
          </w:rPr>
          <w:t>Holybrook</w:t>
        </w:r>
        <w:proofErr w:type="spellEnd"/>
        <w:r w:rsidRPr="00717B56">
          <w:rPr>
            <w:color w:val="0000FF"/>
            <w:u w:val="single"/>
          </w:rPr>
          <w:t xml:space="preserve"> Primary School (holybrookacademy.co.uk)</w:t>
        </w:r>
      </w:hyperlink>
    </w:p>
    <w:p w14:paraId="74BD73C8" w14:textId="12A7539D" w:rsidR="00B30786" w:rsidRPr="00857BB8" w:rsidRDefault="007564F0" w:rsidP="00857BB8">
      <w:pPr>
        <w:jc w:val="both"/>
        <w:rPr>
          <w:rFonts w:cs="Arial"/>
          <w:b/>
          <w:u w:val="single"/>
        </w:rPr>
      </w:pPr>
      <w:r w:rsidRPr="00857BB8">
        <w:t>Information about Bradford Council’s SEND offer</w:t>
      </w:r>
      <w:r w:rsidR="00B30786" w:rsidRPr="00857BB8">
        <w:t xml:space="preserve"> </w:t>
      </w:r>
      <w:r w:rsidRPr="00857BB8">
        <w:t>can be found here</w:t>
      </w:r>
      <w:r w:rsidR="00B30786" w:rsidRPr="00857BB8">
        <w:t xml:space="preserve">: </w:t>
      </w:r>
      <w:hyperlink r:id="rId17" w:history="1">
        <w:r w:rsidR="00B30786" w:rsidRPr="00857BB8">
          <w:rPr>
            <w:rStyle w:val="Hyperlink"/>
          </w:rPr>
          <w:t>https://localoffer.bradford.gov.uk/</w:t>
        </w:r>
      </w:hyperlink>
      <w:r w:rsidR="00B30786" w:rsidRPr="00857BB8">
        <w:t xml:space="preserve"> </w:t>
      </w:r>
    </w:p>
    <w:p w14:paraId="230FC196" w14:textId="77777777" w:rsidR="009867AD" w:rsidRPr="00857BB8" w:rsidRDefault="009867AD" w:rsidP="00857BB8">
      <w:pPr>
        <w:jc w:val="both"/>
        <w:rPr>
          <w:rFonts w:cs="Arial"/>
          <w:b/>
          <w:u w:val="single"/>
        </w:rPr>
      </w:pPr>
      <w:r w:rsidRPr="00857BB8">
        <w:rPr>
          <w:rFonts w:cs="Arial"/>
          <w:b/>
          <w:u w:val="single"/>
        </w:rPr>
        <w:t>Accessibility Plan</w:t>
      </w:r>
    </w:p>
    <w:p w14:paraId="2E8249C5" w14:textId="77777777" w:rsidR="009867AD" w:rsidRPr="00857BB8" w:rsidRDefault="009867AD" w:rsidP="009867AD">
      <w:pPr>
        <w:jc w:val="both"/>
        <w:rPr>
          <w:rFonts w:cs="Arial"/>
          <w:b/>
          <w:u w:val="single"/>
        </w:rPr>
      </w:pPr>
      <w:r w:rsidRPr="00857BB8">
        <w:t>The school’s accessibility plan can be found on the school website.</w:t>
      </w:r>
    </w:p>
    <w:p w14:paraId="5754DFD5" w14:textId="77777777" w:rsidR="00B30786" w:rsidRPr="00857BB8" w:rsidRDefault="00BB2F56" w:rsidP="008E5608">
      <w:pPr>
        <w:jc w:val="both"/>
        <w:rPr>
          <w:rFonts w:cs="Arial"/>
          <w:b/>
          <w:u w:val="single"/>
        </w:rPr>
      </w:pPr>
      <w:hyperlink r:id="rId18" w:history="1">
        <w:r w:rsidR="009867AD" w:rsidRPr="00857BB8">
          <w:rPr>
            <w:rStyle w:val="Hyperlink"/>
          </w:rPr>
          <w:t>https://holybrookacademy.co.uk/wp-content/uploads/2018/10/Accessibility-Plan-HB.pdf</w:t>
        </w:r>
      </w:hyperlink>
    </w:p>
    <w:p w14:paraId="6E1BE357" w14:textId="77777777" w:rsidR="00715E09" w:rsidRPr="00857BB8" w:rsidRDefault="00715E09" w:rsidP="008E5608">
      <w:pPr>
        <w:jc w:val="both"/>
        <w:rPr>
          <w:rFonts w:cs="Arial"/>
          <w:b/>
          <w:u w:val="single"/>
        </w:rPr>
      </w:pPr>
    </w:p>
    <w:p w14:paraId="3EED6F33" w14:textId="77777777" w:rsidR="0019476E" w:rsidRPr="00857BB8" w:rsidRDefault="0019476E" w:rsidP="008E5608">
      <w:pPr>
        <w:jc w:val="both"/>
        <w:rPr>
          <w:rFonts w:cs="Arial"/>
          <w:b/>
          <w:u w:val="single"/>
        </w:rPr>
      </w:pPr>
      <w:r w:rsidRPr="00857BB8">
        <w:rPr>
          <w:rFonts w:cs="Arial"/>
          <w:b/>
          <w:u w:val="single"/>
        </w:rPr>
        <w:t xml:space="preserve">Contact details </w:t>
      </w:r>
    </w:p>
    <w:p w14:paraId="35CFD543" w14:textId="10169E4C" w:rsidR="009867AD" w:rsidRDefault="009867AD" w:rsidP="00AB3C57">
      <w:pPr>
        <w:jc w:val="both"/>
      </w:pPr>
      <w:r w:rsidRPr="00857BB8">
        <w:t>Joanna Jackson –</w:t>
      </w:r>
      <w:r w:rsidR="00A953D7" w:rsidRPr="00857BB8">
        <w:t xml:space="preserve"> Deputy Head and</w:t>
      </w:r>
      <w:r w:rsidRPr="00857BB8">
        <w:t xml:space="preserve"> SENDCo</w:t>
      </w:r>
    </w:p>
    <w:p w14:paraId="4EC37D4F" w14:textId="43588C60" w:rsidR="00926553" w:rsidRPr="00857BB8" w:rsidRDefault="00926553" w:rsidP="00AB3C57">
      <w:pPr>
        <w:jc w:val="both"/>
      </w:pPr>
      <w:r>
        <w:t xml:space="preserve">Carly </w:t>
      </w:r>
      <w:proofErr w:type="spellStart"/>
      <w:r>
        <w:t>Waerea</w:t>
      </w:r>
      <w:proofErr w:type="spellEnd"/>
      <w:r>
        <w:t xml:space="preserve"> – Horizons Centre Leader and SENDCo</w:t>
      </w:r>
    </w:p>
    <w:p w14:paraId="01354E19" w14:textId="77777777" w:rsidR="009867AD" w:rsidRPr="00857BB8" w:rsidRDefault="009867AD" w:rsidP="00AB3C57">
      <w:pPr>
        <w:jc w:val="both"/>
      </w:pPr>
      <w:r w:rsidRPr="00857BB8">
        <w:t>Chris Lloyd – Head of School</w:t>
      </w:r>
    </w:p>
    <w:p w14:paraId="7501D7FD" w14:textId="77777777" w:rsidR="00A953D7" w:rsidRDefault="00A953D7" w:rsidP="00AB3C57">
      <w:pPr>
        <w:jc w:val="both"/>
      </w:pPr>
      <w:r w:rsidRPr="00857BB8">
        <w:t>Christabel Shepherd – Executive Head Teacher</w:t>
      </w:r>
    </w:p>
    <w:p w14:paraId="62C80CFB" w14:textId="77777777" w:rsidR="00013BC2" w:rsidRDefault="009867AD" w:rsidP="00AB3C57">
      <w:pPr>
        <w:jc w:val="both"/>
      </w:pPr>
      <w:r>
        <w:t>Tel: 01274 611327</w:t>
      </w:r>
    </w:p>
    <w:p w14:paraId="2FA6D92B" w14:textId="77777777" w:rsidR="009867AD" w:rsidRPr="009867AD" w:rsidRDefault="009867AD" w:rsidP="00AB3C57">
      <w:pPr>
        <w:jc w:val="both"/>
      </w:pPr>
      <w:r>
        <w:t xml:space="preserve">Email:  </w:t>
      </w:r>
      <w:hyperlink r:id="rId19" w:history="1">
        <w:r w:rsidRPr="00515E46">
          <w:rPr>
            <w:rStyle w:val="Hyperlink"/>
          </w:rPr>
          <w:t>office@holybrookacademy.co.uk</w:t>
        </w:r>
      </w:hyperlink>
      <w:r>
        <w:t xml:space="preserve"> </w:t>
      </w:r>
    </w:p>
    <w:p w14:paraId="2EE61440" w14:textId="77777777" w:rsidR="00013BC2" w:rsidRDefault="00013BC2" w:rsidP="005A74B4">
      <w:pPr>
        <w:pStyle w:val="ListParagraph"/>
        <w:jc w:val="both"/>
        <w:rPr>
          <w:rFonts w:cs="Arial"/>
        </w:rPr>
      </w:pPr>
    </w:p>
    <w:p w14:paraId="4BA3959E" w14:textId="77777777" w:rsidR="00013BC2" w:rsidRDefault="00013BC2" w:rsidP="00013BC2">
      <w:pPr>
        <w:jc w:val="both"/>
        <w:rPr>
          <w:rFonts w:cs="Arial"/>
          <w:u w:val="single"/>
        </w:rPr>
      </w:pPr>
    </w:p>
    <w:p w14:paraId="5DAFBB58" w14:textId="77777777" w:rsidR="00013BC2" w:rsidRDefault="00013BC2" w:rsidP="00013BC2">
      <w:pPr>
        <w:jc w:val="both"/>
        <w:rPr>
          <w:rFonts w:cs="Arial"/>
          <w:u w:val="single"/>
        </w:rPr>
      </w:pPr>
    </w:p>
    <w:p w14:paraId="39B2FCDB" w14:textId="77777777" w:rsidR="00013BC2" w:rsidRDefault="00013BC2" w:rsidP="00013BC2">
      <w:pPr>
        <w:jc w:val="both"/>
        <w:rPr>
          <w:rFonts w:cs="Arial"/>
          <w:u w:val="single"/>
        </w:rPr>
      </w:pPr>
    </w:p>
    <w:p w14:paraId="229B27E4" w14:textId="77777777" w:rsidR="00013BC2" w:rsidRDefault="00013BC2" w:rsidP="00013BC2">
      <w:pPr>
        <w:jc w:val="both"/>
        <w:rPr>
          <w:rFonts w:cs="Arial"/>
          <w:u w:val="single"/>
        </w:rPr>
      </w:pPr>
    </w:p>
    <w:p w14:paraId="3556107F" w14:textId="77777777" w:rsidR="005A74B4" w:rsidRDefault="005A74B4" w:rsidP="005A74B4">
      <w:pPr>
        <w:pStyle w:val="ListParagraph"/>
        <w:jc w:val="both"/>
        <w:rPr>
          <w:rFonts w:cs="Arial"/>
        </w:rPr>
      </w:pPr>
    </w:p>
    <w:p w14:paraId="41C3BA98" w14:textId="77777777" w:rsidR="00B542C5" w:rsidRDefault="00B542C5" w:rsidP="005A74B4">
      <w:pPr>
        <w:pStyle w:val="ListParagraph"/>
        <w:jc w:val="both"/>
        <w:rPr>
          <w:rFonts w:cs="Arial"/>
        </w:rPr>
      </w:pPr>
    </w:p>
    <w:p w14:paraId="0CDA26A0" w14:textId="77777777" w:rsidR="00B542C5" w:rsidRDefault="00B542C5" w:rsidP="005A74B4">
      <w:pPr>
        <w:pStyle w:val="ListParagraph"/>
        <w:jc w:val="both"/>
        <w:rPr>
          <w:rFonts w:cs="Arial"/>
        </w:rPr>
      </w:pPr>
    </w:p>
    <w:p w14:paraId="28086D97" w14:textId="77777777" w:rsidR="00B542C5" w:rsidRDefault="00B542C5" w:rsidP="005A74B4">
      <w:pPr>
        <w:pStyle w:val="ListParagraph"/>
        <w:jc w:val="both"/>
        <w:rPr>
          <w:rFonts w:cs="Arial"/>
        </w:rPr>
      </w:pPr>
    </w:p>
    <w:p w14:paraId="66610CCD" w14:textId="77777777" w:rsidR="00B542C5" w:rsidRDefault="00B542C5" w:rsidP="005A74B4">
      <w:pPr>
        <w:pStyle w:val="ListParagraph"/>
        <w:jc w:val="both"/>
        <w:rPr>
          <w:rFonts w:cs="Arial"/>
        </w:rPr>
      </w:pPr>
    </w:p>
    <w:p w14:paraId="3434F13C" w14:textId="77777777" w:rsidR="00B542C5" w:rsidRDefault="00B542C5" w:rsidP="005A74B4">
      <w:pPr>
        <w:pStyle w:val="ListParagraph"/>
        <w:jc w:val="both"/>
        <w:rPr>
          <w:rFonts w:cs="Arial"/>
        </w:rPr>
      </w:pPr>
    </w:p>
    <w:p w14:paraId="6E175FB0" w14:textId="77777777" w:rsidR="00B542C5" w:rsidRDefault="00B542C5" w:rsidP="005A74B4">
      <w:pPr>
        <w:pStyle w:val="ListParagraph"/>
        <w:jc w:val="both"/>
        <w:rPr>
          <w:rFonts w:cs="Arial"/>
        </w:rPr>
      </w:pPr>
    </w:p>
    <w:p w14:paraId="11BEDB6D" w14:textId="77777777" w:rsidR="00B542C5" w:rsidRDefault="00B542C5" w:rsidP="005A74B4">
      <w:pPr>
        <w:pStyle w:val="ListParagraph"/>
        <w:jc w:val="both"/>
        <w:rPr>
          <w:rFonts w:cs="Arial"/>
        </w:rPr>
      </w:pPr>
    </w:p>
    <w:p w14:paraId="61F49B12" w14:textId="77777777" w:rsidR="00B542C5" w:rsidRDefault="00B542C5" w:rsidP="005A74B4">
      <w:pPr>
        <w:pStyle w:val="ListParagraph"/>
        <w:jc w:val="both"/>
        <w:rPr>
          <w:rFonts w:cs="Arial"/>
        </w:rPr>
      </w:pPr>
    </w:p>
    <w:p w14:paraId="7FEDDD66" w14:textId="77777777" w:rsidR="00B542C5" w:rsidRDefault="00B542C5" w:rsidP="005A74B4">
      <w:pPr>
        <w:pStyle w:val="ListParagraph"/>
        <w:jc w:val="both"/>
        <w:rPr>
          <w:rFonts w:cs="Arial"/>
        </w:rPr>
      </w:pPr>
    </w:p>
    <w:p w14:paraId="6353866B" w14:textId="77777777" w:rsidR="00B542C5" w:rsidRDefault="00B542C5" w:rsidP="005A74B4">
      <w:pPr>
        <w:pStyle w:val="ListParagraph"/>
        <w:jc w:val="both"/>
        <w:rPr>
          <w:rFonts w:cs="Arial"/>
        </w:rPr>
      </w:pPr>
    </w:p>
    <w:p w14:paraId="16589429" w14:textId="77777777" w:rsidR="00B542C5" w:rsidRDefault="00B542C5" w:rsidP="005A74B4">
      <w:pPr>
        <w:pStyle w:val="ListParagraph"/>
        <w:jc w:val="both"/>
        <w:rPr>
          <w:rFonts w:cs="Arial"/>
        </w:rPr>
      </w:pPr>
    </w:p>
    <w:p w14:paraId="5F38A1D7" w14:textId="77777777" w:rsidR="00B542C5" w:rsidRDefault="00B542C5" w:rsidP="005A74B4">
      <w:pPr>
        <w:pStyle w:val="ListParagraph"/>
        <w:jc w:val="both"/>
        <w:rPr>
          <w:rFonts w:cs="Arial"/>
        </w:rPr>
      </w:pPr>
    </w:p>
    <w:p w14:paraId="1AA590BF" w14:textId="77777777" w:rsidR="00B542C5" w:rsidRDefault="00B542C5" w:rsidP="005A74B4">
      <w:pPr>
        <w:pStyle w:val="ListParagraph"/>
        <w:jc w:val="both"/>
        <w:rPr>
          <w:rFonts w:cs="Arial"/>
        </w:rPr>
      </w:pPr>
    </w:p>
    <w:p w14:paraId="5CAEA87B" w14:textId="77777777" w:rsidR="00B542C5" w:rsidRDefault="00B542C5" w:rsidP="005A74B4">
      <w:pPr>
        <w:pStyle w:val="ListParagraph"/>
        <w:jc w:val="both"/>
        <w:rPr>
          <w:rFonts w:cs="Arial"/>
        </w:rPr>
      </w:pPr>
    </w:p>
    <w:p w14:paraId="33826042" w14:textId="77777777" w:rsidR="00B542C5" w:rsidRDefault="00B542C5" w:rsidP="005A74B4">
      <w:pPr>
        <w:pStyle w:val="ListParagraph"/>
        <w:jc w:val="both"/>
        <w:rPr>
          <w:rFonts w:cs="Arial"/>
        </w:rPr>
      </w:pPr>
    </w:p>
    <w:p w14:paraId="2BB39B32" w14:textId="77777777" w:rsidR="00B542C5" w:rsidRDefault="00B542C5" w:rsidP="005A74B4">
      <w:pPr>
        <w:pStyle w:val="ListParagraph"/>
        <w:jc w:val="both"/>
        <w:rPr>
          <w:rFonts w:cs="Arial"/>
        </w:rPr>
      </w:pPr>
    </w:p>
    <w:p w14:paraId="24559120" w14:textId="77777777" w:rsidR="00B542C5" w:rsidRDefault="00B542C5" w:rsidP="005A74B4">
      <w:pPr>
        <w:pStyle w:val="ListParagraph"/>
        <w:jc w:val="both"/>
        <w:rPr>
          <w:rFonts w:cs="Arial"/>
        </w:rPr>
      </w:pPr>
    </w:p>
    <w:p w14:paraId="01AD48CD" w14:textId="77777777" w:rsidR="00B542C5" w:rsidRDefault="00B542C5" w:rsidP="005A74B4">
      <w:pPr>
        <w:pStyle w:val="ListParagraph"/>
        <w:jc w:val="both"/>
        <w:rPr>
          <w:rFonts w:cs="Arial"/>
        </w:rPr>
      </w:pPr>
    </w:p>
    <w:p w14:paraId="6FCEA195" w14:textId="77777777" w:rsidR="00B542C5" w:rsidRDefault="00B542C5" w:rsidP="005A74B4">
      <w:pPr>
        <w:pStyle w:val="ListParagraph"/>
        <w:jc w:val="both"/>
        <w:rPr>
          <w:rFonts w:cs="Arial"/>
        </w:rPr>
      </w:pPr>
    </w:p>
    <w:p w14:paraId="6519CB6A" w14:textId="77777777" w:rsidR="00B542C5" w:rsidRDefault="00B542C5" w:rsidP="005A74B4">
      <w:pPr>
        <w:pStyle w:val="ListParagraph"/>
        <w:jc w:val="both"/>
        <w:rPr>
          <w:rFonts w:cs="Arial"/>
        </w:rPr>
      </w:pPr>
    </w:p>
    <w:p w14:paraId="299D7CD9" w14:textId="77777777" w:rsidR="00B542C5" w:rsidRDefault="00B542C5" w:rsidP="005A74B4">
      <w:pPr>
        <w:pStyle w:val="ListParagraph"/>
        <w:jc w:val="both"/>
        <w:rPr>
          <w:rFonts w:cs="Arial"/>
        </w:rPr>
      </w:pPr>
    </w:p>
    <w:p w14:paraId="19CB546C" w14:textId="77777777" w:rsidR="00B542C5" w:rsidRDefault="00B542C5" w:rsidP="005A74B4">
      <w:pPr>
        <w:pStyle w:val="ListParagraph"/>
        <w:jc w:val="both"/>
        <w:rPr>
          <w:rFonts w:cs="Arial"/>
        </w:rPr>
      </w:pPr>
    </w:p>
    <w:p w14:paraId="28726091" w14:textId="77777777" w:rsidR="00B542C5" w:rsidRDefault="00B542C5" w:rsidP="005A74B4">
      <w:pPr>
        <w:pStyle w:val="ListParagraph"/>
        <w:jc w:val="both"/>
        <w:rPr>
          <w:rFonts w:cs="Arial"/>
        </w:rPr>
      </w:pPr>
    </w:p>
    <w:p w14:paraId="46EF7065" w14:textId="77777777" w:rsidR="00B542C5" w:rsidRDefault="00B542C5" w:rsidP="005A74B4">
      <w:pPr>
        <w:pStyle w:val="ListParagraph"/>
        <w:jc w:val="both"/>
        <w:rPr>
          <w:rFonts w:cs="Arial"/>
        </w:rPr>
      </w:pPr>
    </w:p>
    <w:p w14:paraId="6AB7A4BC" w14:textId="77777777" w:rsidR="00B542C5" w:rsidRPr="000D562E" w:rsidRDefault="009C65C3" w:rsidP="000D562E">
      <w:pPr>
        <w:jc w:val="both"/>
        <w:rPr>
          <w:rFonts w:cs="Arial"/>
        </w:rPr>
      </w:pPr>
      <w:r>
        <w:rPr>
          <w:rFonts w:cs="Arial"/>
        </w:rPr>
        <w:lastRenderedPageBreak/>
        <w:t xml:space="preserve"> </w:t>
      </w:r>
    </w:p>
    <w:sectPr w:rsidR="00B542C5" w:rsidRPr="000D562E" w:rsidSect="00A26CA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D8FD5" w14:textId="77777777" w:rsidR="008E5608" w:rsidRDefault="008E5608" w:rsidP="008E5608">
      <w:pPr>
        <w:spacing w:after="0" w:line="240" w:lineRule="auto"/>
      </w:pPr>
      <w:r>
        <w:separator/>
      </w:r>
    </w:p>
  </w:endnote>
  <w:endnote w:type="continuationSeparator" w:id="0">
    <w:p w14:paraId="02BD0BF3" w14:textId="77777777" w:rsidR="008E5608" w:rsidRDefault="008E5608" w:rsidP="008E5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4C62F" w14:textId="77777777" w:rsidR="008E5608" w:rsidRDefault="008E5608" w:rsidP="008E5608">
      <w:pPr>
        <w:spacing w:after="0" w:line="240" w:lineRule="auto"/>
      </w:pPr>
      <w:r>
        <w:separator/>
      </w:r>
    </w:p>
  </w:footnote>
  <w:footnote w:type="continuationSeparator" w:id="0">
    <w:p w14:paraId="56CDBFC7" w14:textId="77777777" w:rsidR="008E5608" w:rsidRDefault="008E5608" w:rsidP="008E56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2E8D"/>
    <w:multiLevelType w:val="hybridMultilevel"/>
    <w:tmpl w:val="0160F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003F5"/>
    <w:multiLevelType w:val="hybridMultilevel"/>
    <w:tmpl w:val="FFE8E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E7D47"/>
    <w:multiLevelType w:val="hybridMultilevel"/>
    <w:tmpl w:val="4E52F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330CF"/>
    <w:multiLevelType w:val="hybridMultilevel"/>
    <w:tmpl w:val="4D18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45389"/>
    <w:multiLevelType w:val="hybridMultilevel"/>
    <w:tmpl w:val="F2F40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614D5"/>
    <w:multiLevelType w:val="hybridMultilevel"/>
    <w:tmpl w:val="AA8EB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73BDC"/>
    <w:multiLevelType w:val="hybridMultilevel"/>
    <w:tmpl w:val="5D003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E767D"/>
    <w:multiLevelType w:val="hybridMultilevel"/>
    <w:tmpl w:val="DDEC4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365304"/>
    <w:multiLevelType w:val="hybridMultilevel"/>
    <w:tmpl w:val="1960B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3C2518"/>
    <w:multiLevelType w:val="hybridMultilevel"/>
    <w:tmpl w:val="9680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061E56"/>
    <w:multiLevelType w:val="hybridMultilevel"/>
    <w:tmpl w:val="DE6E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920D0A"/>
    <w:multiLevelType w:val="multilevel"/>
    <w:tmpl w:val="C330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0655F7"/>
    <w:multiLevelType w:val="hybridMultilevel"/>
    <w:tmpl w:val="460C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886220"/>
    <w:multiLevelType w:val="hybridMultilevel"/>
    <w:tmpl w:val="D40ED494"/>
    <w:lvl w:ilvl="0" w:tplc="08090011">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683F24"/>
    <w:multiLevelType w:val="hybridMultilevel"/>
    <w:tmpl w:val="F6A22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130055"/>
    <w:multiLevelType w:val="hybridMultilevel"/>
    <w:tmpl w:val="D27A5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5F5D00"/>
    <w:multiLevelType w:val="hybridMultilevel"/>
    <w:tmpl w:val="45566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A84DCC"/>
    <w:multiLevelType w:val="hybridMultilevel"/>
    <w:tmpl w:val="AD04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C33CCC"/>
    <w:multiLevelType w:val="hybridMultilevel"/>
    <w:tmpl w:val="2E06F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9C48B6"/>
    <w:multiLevelType w:val="hybridMultilevel"/>
    <w:tmpl w:val="3F0A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0740FB"/>
    <w:multiLevelType w:val="hybridMultilevel"/>
    <w:tmpl w:val="45D44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0A0950"/>
    <w:multiLevelType w:val="hybridMultilevel"/>
    <w:tmpl w:val="DB527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0"/>
  </w:num>
  <w:num w:numId="4">
    <w:abstractNumId w:val="7"/>
  </w:num>
  <w:num w:numId="5">
    <w:abstractNumId w:val="11"/>
  </w:num>
  <w:num w:numId="6">
    <w:abstractNumId w:val="12"/>
  </w:num>
  <w:num w:numId="7">
    <w:abstractNumId w:val="3"/>
  </w:num>
  <w:num w:numId="8">
    <w:abstractNumId w:val="13"/>
  </w:num>
  <w:num w:numId="9">
    <w:abstractNumId w:val="17"/>
  </w:num>
  <w:num w:numId="10">
    <w:abstractNumId w:val="16"/>
  </w:num>
  <w:num w:numId="11">
    <w:abstractNumId w:val="18"/>
  </w:num>
  <w:num w:numId="12">
    <w:abstractNumId w:val="5"/>
  </w:num>
  <w:num w:numId="13">
    <w:abstractNumId w:val="20"/>
  </w:num>
  <w:num w:numId="14">
    <w:abstractNumId w:val="8"/>
  </w:num>
  <w:num w:numId="15">
    <w:abstractNumId w:val="15"/>
  </w:num>
  <w:num w:numId="16">
    <w:abstractNumId w:val="9"/>
  </w:num>
  <w:num w:numId="17">
    <w:abstractNumId w:val="1"/>
  </w:num>
  <w:num w:numId="18">
    <w:abstractNumId w:val="21"/>
  </w:num>
  <w:num w:numId="19">
    <w:abstractNumId w:val="4"/>
  </w:num>
  <w:num w:numId="20">
    <w:abstractNumId w:val="2"/>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594"/>
    <w:rsid w:val="00000094"/>
    <w:rsid w:val="00004F95"/>
    <w:rsid w:val="00005FED"/>
    <w:rsid w:val="00013BC2"/>
    <w:rsid w:val="00014A46"/>
    <w:rsid w:val="00020A7D"/>
    <w:rsid w:val="000230C5"/>
    <w:rsid w:val="000249FF"/>
    <w:rsid w:val="000306A2"/>
    <w:rsid w:val="000321A0"/>
    <w:rsid w:val="00036D04"/>
    <w:rsid w:val="00045E7F"/>
    <w:rsid w:val="0004671F"/>
    <w:rsid w:val="00051E16"/>
    <w:rsid w:val="000526F9"/>
    <w:rsid w:val="00052C63"/>
    <w:rsid w:val="00056A7F"/>
    <w:rsid w:val="00057146"/>
    <w:rsid w:val="0006106C"/>
    <w:rsid w:val="00065A4F"/>
    <w:rsid w:val="00073369"/>
    <w:rsid w:val="000761EF"/>
    <w:rsid w:val="00080372"/>
    <w:rsid w:val="00082CE8"/>
    <w:rsid w:val="000841B8"/>
    <w:rsid w:val="00091654"/>
    <w:rsid w:val="000A069F"/>
    <w:rsid w:val="000A24FE"/>
    <w:rsid w:val="000A35D8"/>
    <w:rsid w:val="000B00D1"/>
    <w:rsid w:val="000B5B07"/>
    <w:rsid w:val="000B65D2"/>
    <w:rsid w:val="000D0067"/>
    <w:rsid w:val="000D3944"/>
    <w:rsid w:val="000D432D"/>
    <w:rsid w:val="000D4790"/>
    <w:rsid w:val="000D562E"/>
    <w:rsid w:val="000E1529"/>
    <w:rsid w:val="000E72D3"/>
    <w:rsid w:val="000F1055"/>
    <w:rsid w:val="000F3F01"/>
    <w:rsid w:val="0010237B"/>
    <w:rsid w:val="00104D57"/>
    <w:rsid w:val="001078EF"/>
    <w:rsid w:val="0011258E"/>
    <w:rsid w:val="001176B2"/>
    <w:rsid w:val="001255E7"/>
    <w:rsid w:val="00126E9F"/>
    <w:rsid w:val="00127CCE"/>
    <w:rsid w:val="00132237"/>
    <w:rsid w:val="00132832"/>
    <w:rsid w:val="001334E0"/>
    <w:rsid w:val="00152169"/>
    <w:rsid w:val="001530D7"/>
    <w:rsid w:val="00157F2E"/>
    <w:rsid w:val="00166791"/>
    <w:rsid w:val="001702BB"/>
    <w:rsid w:val="00184BEC"/>
    <w:rsid w:val="0019476E"/>
    <w:rsid w:val="001949B3"/>
    <w:rsid w:val="00195085"/>
    <w:rsid w:val="0019568A"/>
    <w:rsid w:val="00195885"/>
    <w:rsid w:val="001974D5"/>
    <w:rsid w:val="001A5601"/>
    <w:rsid w:val="001A65F1"/>
    <w:rsid w:val="001A70BC"/>
    <w:rsid w:val="001B0869"/>
    <w:rsid w:val="001B0F3C"/>
    <w:rsid w:val="001B2C80"/>
    <w:rsid w:val="001B560F"/>
    <w:rsid w:val="001B6E98"/>
    <w:rsid w:val="001C0EB9"/>
    <w:rsid w:val="001C7942"/>
    <w:rsid w:val="001D6A62"/>
    <w:rsid w:val="001F6DCC"/>
    <w:rsid w:val="0020550F"/>
    <w:rsid w:val="00215E5C"/>
    <w:rsid w:val="002215AE"/>
    <w:rsid w:val="00233D88"/>
    <w:rsid w:val="00242244"/>
    <w:rsid w:val="00245488"/>
    <w:rsid w:val="00251D73"/>
    <w:rsid w:val="0025276C"/>
    <w:rsid w:val="0025445C"/>
    <w:rsid w:val="00262AD8"/>
    <w:rsid w:val="00264A17"/>
    <w:rsid w:val="00265D12"/>
    <w:rsid w:val="002708AF"/>
    <w:rsid w:val="00272C42"/>
    <w:rsid w:val="002801D4"/>
    <w:rsid w:val="002868A1"/>
    <w:rsid w:val="00287075"/>
    <w:rsid w:val="00290509"/>
    <w:rsid w:val="00290931"/>
    <w:rsid w:val="002973DD"/>
    <w:rsid w:val="002A2DC8"/>
    <w:rsid w:val="002A4CBD"/>
    <w:rsid w:val="002A67D7"/>
    <w:rsid w:val="002B1416"/>
    <w:rsid w:val="002B58B4"/>
    <w:rsid w:val="002B74A3"/>
    <w:rsid w:val="002C2F1D"/>
    <w:rsid w:val="002C35DB"/>
    <w:rsid w:val="002D08F4"/>
    <w:rsid w:val="002D5511"/>
    <w:rsid w:val="002D6EA3"/>
    <w:rsid w:val="002D78D9"/>
    <w:rsid w:val="002E5721"/>
    <w:rsid w:val="002F2B66"/>
    <w:rsid w:val="002F589C"/>
    <w:rsid w:val="002F5E08"/>
    <w:rsid w:val="002F6EBE"/>
    <w:rsid w:val="00307B39"/>
    <w:rsid w:val="00310E26"/>
    <w:rsid w:val="003110B4"/>
    <w:rsid w:val="00313CBB"/>
    <w:rsid w:val="0031567C"/>
    <w:rsid w:val="003202B1"/>
    <w:rsid w:val="003226F3"/>
    <w:rsid w:val="00323052"/>
    <w:rsid w:val="003242CF"/>
    <w:rsid w:val="003321AB"/>
    <w:rsid w:val="00334842"/>
    <w:rsid w:val="00336DAF"/>
    <w:rsid w:val="00345845"/>
    <w:rsid w:val="00345C2F"/>
    <w:rsid w:val="00350AFB"/>
    <w:rsid w:val="0035245E"/>
    <w:rsid w:val="00356F4C"/>
    <w:rsid w:val="00360E84"/>
    <w:rsid w:val="003629B0"/>
    <w:rsid w:val="003649FB"/>
    <w:rsid w:val="00367D51"/>
    <w:rsid w:val="00370890"/>
    <w:rsid w:val="003713D7"/>
    <w:rsid w:val="00373FC7"/>
    <w:rsid w:val="00374628"/>
    <w:rsid w:val="00375B4E"/>
    <w:rsid w:val="00377138"/>
    <w:rsid w:val="0037776B"/>
    <w:rsid w:val="003879B7"/>
    <w:rsid w:val="00391927"/>
    <w:rsid w:val="00392092"/>
    <w:rsid w:val="00392801"/>
    <w:rsid w:val="003940CA"/>
    <w:rsid w:val="00396B3E"/>
    <w:rsid w:val="003A2B87"/>
    <w:rsid w:val="003A59EA"/>
    <w:rsid w:val="003A62C4"/>
    <w:rsid w:val="003B3CBD"/>
    <w:rsid w:val="003B58A7"/>
    <w:rsid w:val="003C51F6"/>
    <w:rsid w:val="003C74D7"/>
    <w:rsid w:val="003D0711"/>
    <w:rsid w:val="003D5076"/>
    <w:rsid w:val="003D5559"/>
    <w:rsid w:val="003D6747"/>
    <w:rsid w:val="003D7605"/>
    <w:rsid w:val="003D764E"/>
    <w:rsid w:val="003E1D38"/>
    <w:rsid w:val="003F0A54"/>
    <w:rsid w:val="003F1407"/>
    <w:rsid w:val="004022AB"/>
    <w:rsid w:val="0040387A"/>
    <w:rsid w:val="00404311"/>
    <w:rsid w:val="00404B4F"/>
    <w:rsid w:val="00407935"/>
    <w:rsid w:val="0041261E"/>
    <w:rsid w:val="00413226"/>
    <w:rsid w:val="00413762"/>
    <w:rsid w:val="00424E93"/>
    <w:rsid w:val="00441426"/>
    <w:rsid w:val="0045388D"/>
    <w:rsid w:val="0045493A"/>
    <w:rsid w:val="004563E8"/>
    <w:rsid w:val="00456F48"/>
    <w:rsid w:val="0046109B"/>
    <w:rsid w:val="00462396"/>
    <w:rsid w:val="00464EED"/>
    <w:rsid w:val="00467637"/>
    <w:rsid w:val="0047065B"/>
    <w:rsid w:val="00476458"/>
    <w:rsid w:val="00476E1B"/>
    <w:rsid w:val="004800B2"/>
    <w:rsid w:val="00480E61"/>
    <w:rsid w:val="00481701"/>
    <w:rsid w:val="0048246A"/>
    <w:rsid w:val="00485999"/>
    <w:rsid w:val="004900F4"/>
    <w:rsid w:val="004975AB"/>
    <w:rsid w:val="00497A8B"/>
    <w:rsid w:val="004A2564"/>
    <w:rsid w:val="004A47EE"/>
    <w:rsid w:val="004A612B"/>
    <w:rsid w:val="004B0BFA"/>
    <w:rsid w:val="004C0C0A"/>
    <w:rsid w:val="004D2094"/>
    <w:rsid w:val="004D6A3E"/>
    <w:rsid w:val="004D78BB"/>
    <w:rsid w:val="004E0157"/>
    <w:rsid w:val="004E29D5"/>
    <w:rsid w:val="004E2C9A"/>
    <w:rsid w:val="004E343B"/>
    <w:rsid w:val="004E5230"/>
    <w:rsid w:val="004F1ACD"/>
    <w:rsid w:val="004F31E2"/>
    <w:rsid w:val="004F49C9"/>
    <w:rsid w:val="004F593A"/>
    <w:rsid w:val="004F6A41"/>
    <w:rsid w:val="0050083E"/>
    <w:rsid w:val="00512244"/>
    <w:rsid w:val="005125FF"/>
    <w:rsid w:val="005142E6"/>
    <w:rsid w:val="00515397"/>
    <w:rsid w:val="0051664A"/>
    <w:rsid w:val="0052141D"/>
    <w:rsid w:val="00527C05"/>
    <w:rsid w:val="005305D6"/>
    <w:rsid w:val="00541D77"/>
    <w:rsid w:val="00552779"/>
    <w:rsid w:val="00553F8A"/>
    <w:rsid w:val="00556FEE"/>
    <w:rsid w:val="00557852"/>
    <w:rsid w:val="0056206E"/>
    <w:rsid w:val="005630E2"/>
    <w:rsid w:val="00564724"/>
    <w:rsid w:val="00565313"/>
    <w:rsid w:val="00565C44"/>
    <w:rsid w:val="00574A12"/>
    <w:rsid w:val="00577606"/>
    <w:rsid w:val="0058593F"/>
    <w:rsid w:val="005913E2"/>
    <w:rsid w:val="005916CA"/>
    <w:rsid w:val="00592741"/>
    <w:rsid w:val="005967F9"/>
    <w:rsid w:val="005A74B4"/>
    <w:rsid w:val="005B0FE3"/>
    <w:rsid w:val="005B543A"/>
    <w:rsid w:val="005B71AB"/>
    <w:rsid w:val="005C2115"/>
    <w:rsid w:val="005C45B3"/>
    <w:rsid w:val="005C4FD8"/>
    <w:rsid w:val="005D3399"/>
    <w:rsid w:val="005D36FE"/>
    <w:rsid w:val="005D3B1A"/>
    <w:rsid w:val="005D4777"/>
    <w:rsid w:val="005D7CB5"/>
    <w:rsid w:val="005E2594"/>
    <w:rsid w:val="005E6B2E"/>
    <w:rsid w:val="005E7968"/>
    <w:rsid w:val="005F0C8A"/>
    <w:rsid w:val="005F0D6D"/>
    <w:rsid w:val="005F6021"/>
    <w:rsid w:val="005F7C4D"/>
    <w:rsid w:val="00600EBA"/>
    <w:rsid w:val="006028AD"/>
    <w:rsid w:val="00602EB3"/>
    <w:rsid w:val="00605DBF"/>
    <w:rsid w:val="006070CF"/>
    <w:rsid w:val="006110B1"/>
    <w:rsid w:val="0061261B"/>
    <w:rsid w:val="00613656"/>
    <w:rsid w:val="00614EBC"/>
    <w:rsid w:val="0061578A"/>
    <w:rsid w:val="00623BA5"/>
    <w:rsid w:val="006259AF"/>
    <w:rsid w:val="00625F3E"/>
    <w:rsid w:val="0062720F"/>
    <w:rsid w:val="006410DE"/>
    <w:rsid w:val="00645E3D"/>
    <w:rsid w:val="00651417"/>
    <w:rsid w:val="0065488C"/>
    <w:rsid w:val="00657D98"/>
    <w:rsid w:val="0067129E"/>
    <w:rsid w:val="00682C0A"/>
    <w:rsid w:val="00683454"/>
    <w:rsid w:val="006A20E1"/>
    <w:rsid w:val="006A7DEA"/>
    <w:rsid w:val="006B1324"/>
    <w:rsid w:val="006B41A0"/>
    <w:rsid w:val="006C11ED"/>
    <w:rsid w:val="006C3243"/>
    <w:rsid w:val="006C6EDF"/>
    <w:rsid w:val="006C6F20"/>
    <w:rsid w:val="006D099B"/>
    <w:rsid w:val="006D0D63"/>
    <w:rsid w:val="006D468B"/>
    <w:rsid w:val="006D4BE2"/>
    <w:rsid w:val="006D4F0B"/>
    <w:rsid w:val="006D6F7D"/>
    <w:rsid w:val="006E03C8"/>
    <w:rsid w:val="006E574A"/>
    <w:rsid w:val="006E618E"/>
    <w:rsid w:val="0070088F"/>
    <w:rsid w:val="007022CD"/>
    <w:rsid w:val="007034AE"/>
    <w:rsid w:val="007041B7"/>
    <w:rsid w:val="00712EEF"/>
    <w:rsid w:val="00713F69"/>
    <w:rsid w:val="00715E09"/>
    <w:rsid w:val="00716507"/>
    <w:rsid w:val="007176CD"/>
    <w:rsid w:val="00717B56"/>
    <w:rsid w:val="007275C5"/>
    <w:rsid w:val="00733E6D"/>
    <w:rsid w:val="007366CA"/>
    <w:rsid w:val="00737AEE"/>
    <w:rsid w:val="00743C13"/>
    <w:rsid w:val="00744648"/>
    <w:rsid w:val="00744ED9"/>
    <w:rsid w:val="00750EDC"/>
    <w:rsid w:val="0075106B"/>
    <w:rsid w:val="00755DC8"/>
    <w:rsid w:val="007564F0"/>
    <w:rsid w:val="00762FB1"/>
    <w:rsid w:val="0076402F"/>
    <w:rsid w:val="007664BC"/>
    <w:rsid w:val="00766938"/>
    <w:rsid w:val="00770810"/>
    <w:rsid w:val="00771B77"/>
    <w:rsid w:val="00772CF2"/>
    <w:rsid w:val="00774002"/>
    <w:rsid w:val="007755AC"/>
    <w:rsid w:val="00775819"/>
    <w:rsid w:val="0077781D"/>
    <w:rsid w:val="0078198D"/>
    <w:rsid w:val="00786DB8"/>
    <w:rsid w:val="00791E14"/>
    <w:rsid w:val="00797466"/>
    <w:rsid w:val="007A4543"/>
    <w:rsid w:val="007B316E"/>
    <w:rsid w:val="007B485F"/>
    <w:rsid w:val="007C0362"/>
    <w:rsid w:val="007C220A"/>
    <w:rsid w:val="007C3197"/>
    <w:rsid w:val="007C6D60"/>
    <w:rsid w:val="007D037A"/>
    <w:rsid w:val="007D04E4"/>
    <w:rsid w:val="007D1F0A"/>
    <w:rsid w:val="007E24E2"/>
    <w:rsid w:val="007E38E0"/>
    <w:rsid w:val="007E5B39"/>
    <w:rsid w:val="007E6D3A"/>
    <w:rsid w:val="007F1DE5"/>
    <w:rsid w:val="007F27B0"/>
    <w:rsid w:val="007F5DEE"/>
    <w:rsid w:val="007F6976"/>
    <w:rsid w:val="008059F3"/>
    <w:rsid w:val="00807626"/>
    <w:rsid w:val="00813553"/>
    <w:rsid w:val="00817489"/>
    <w:rsid w:val="00820297"/>
    <w:rsid w:val="00826D99"/>
    <w:rsid w:val="00826F50"/>
    <w:rsid w:val="00832992"/>
    <w:rsid w:val="008331E7"/>
    <w:rsid w:val="00834A75"/>
    <w:rsid w:val="00836759"/>
    <w:rsid w:val="0084392B"/>
    <w:rsid w:val="00857BB8"/>
    <w:rsid w:val="00857E55"/>
    <w:rsid w:val="0086170D"/>
    <w:rsid w:val="0086496B"/>
    <w:rsid w:val="008704FE"/>
    <w:rsid w:val="00881DB4"/>
    <w:rsid w:val="00882713"/>
    <w:rsid w:val="00891FC3"/>
    <w:rsid w:val="00896A7C"/>
    <w:rsid w:val="0089731C"/>
    <w:rsid w:val="008B4CFE"/>
    <w:rsid w:val="008C4616"/>
    <w:rsid w:val="008C47C6"/>
    <w:rsid w:val="008C51DE"/>
    <w:rsid w:val="008C7F17"/>
    <w:rsid w:val="008D527A"/>
    <w:rsid w:val="008E5608"/>
    <w:rsid w:val="008F3E35"/>
    <w:rsid w:val="008F5AC5"/>
    <w:rsid w:val="008F7DE4"/>
    <w:rsid w:val="00901602"/>
    <w:rsid w:val="009070B2"/>
    <w:rsid w:val="009133A6"/>
    <w:rsid w:val="009162FB"/>
    <w:rsid w:val="00923769"/>
    <w:rsid w:val="009240A3"/>
    <w:rsid w:val="00926553"/>
    <w:rsid w:val="00926C5E"/>
    <w:rsid w:val="00926EA6"/>
    <w:rsid w:val="00930848"/>
    <w:rsid w:val="00934539"/>
    <w:rsid w:val="00935DB1"/>
    <w:rsid w:val="009374CD"/>
    <w:rsid w:val="00937C26"/>
    <w:rsid w:val="00940C6E"/>
    <w:rsid w:val="00940E86"/>
    <w:rsid w:val="00942EBD"/>
    <w:rsid w:val="0094322F"/>
    <w:rsid w:val="009459A1"/>
    <w:rsid w:val="00946075"/>
    <w:rsid w:val="009466CC"/>
    <w:rsid w:val="00946A51"/>
    <w:rsid w:val="0095000E"/>
    <w:rsid w:val="00951296"/>
    <w:rsid w:val="00952686"/>
    <w:rsid w:val="00952C3B"/>
    <w:rsid w:val="00953269"/>
    <w:rsid w:val="00960815"/>
    <w:rsid w:val="009645C0"/>
    <w:rsid w:val="009661C4"/>
    <w:rsid w:val="00967600"/>
    <w:rsid w:val="00972621"/>
    <w:rsid w:val="0097472C"/>
    <w:rsid w:val="009838B0"/>
    <w:rsid w:val="009860EB"/>
    <w:rsid w:val="009867AD"/>
    <w:rsid w:val="0098687A"/>
    <w:rsid w:val="00986D4F"/>
    <w:rsid w:val="00991163"/>
    <w:rsid w:val="00993594"/>
    <w:rsid w:val="00995E17"/>
    <w:rsid w:val="00996237"/>
    <w:rsid w:val="009B1C8F"/>
    <w:rsid w:val="009B7174"/>
    <w:rsid w:val="009B788C"/>
    <w:rsid w:val="009C062A"/>
    <w:rsid w:val="009C0910"/>
    <w:rsid w:val="009C4A5F"/>
    <w:rsid w:val="009C51C9"/>
    <w:rsid w:val="009C6442"/>
    <w:rsid w:val="009C65C3"/>
    <w:rsid w:val="009E0EF5"/>
    <w:rsid w:val="009E3085"/>
    <w:rsid w:val="00A0144A"/>
    <w:rsid w:val="00A06289"/>
    <w:rsid w:val="00A0755E"/>
    <w:rsid w:val="00A1316A"/>
    <w:rsid w:val="00A13388"/>
    <w:rsid w:val="00A1782E"/>
    <w:rsid w:val="00A22067"/>
    <w:rsid w:val="00A26CAD"/>
    <w:rsid w:val="00A33BAB"/>
    <w:rsid w:val="00A413F0"/>
    <w:rsid w:val="00A42531"/>
    <w:rsid w:val="00A4401C"/>
    <w:rsid w:val="00A47846"/>
    <w:rsid w:val="00A50D22"/>
    <w:rsid w:val="00A53D5B"/>
    <w:rsid w:val="00A625A9"/>
    <w:rsid w:val="00A649EC"/>
    <w:rsid w:val="00A7046F"/>
    <w:rsid w:val="00A70CAE"/>
    <w:rsid w:val="00A718BF"/>
    <w:rsid w:val="00A82419"/>
    <w:rsid w:val="00A85CBA"/>
    <w:rsid w:val="00A87537"/>
    <w:rsid w:val="00A9026E"/>
    <w:rsid w:val="00A91FEE"/>
    <w:rsid w:val="00A953D7"/>
    <w:rsid w:val="00A95BC7"/>
    <w:rsid w:val="00AA32FF"/>
    <w:rsid w:val="00AA3E5C"/>
    <w:rsid w:val="00AB3C57"/>
    <w:rsid w:val="00AB5ED8"/>
    <w:rsid w:val="00AB7301"/>
    <w:rsid w:val="00AC15CC"/>
    <w:rsid w:val="00AC2B87"/>
    <w:rsid w:val="00AC79F9"/>
    <w:rsid w:val="00AD21BB"/>
    <w:rsid w:val="00AD33EE"/>
    <w:rsid w:val="00AD7E8B"/>
    <w:rsid w:val="00AE623E"/>
    <w:rsid w:val="00AF2A84"/>
    <w:rsid w:val="00AF2CB1"/>
    <w:rsid w:val="00AF3E8A"/>
    <w:rsid w:val="00B04D04"/>
    <w:rsid w:val="00B06C9A"/>
    <w:rsid w:val="00B071E7"/>
    <w:rsid w:val="00B134A5"/>
    <w:rsid w:val="00B17534"/>
    <w:rsid w:val="00B21AE6"/>
    <w:rsid w:val="00B22127"/>
    <w:rsid w:val="00B237E9"/>
    <w:rsid w:val="00B23B32"/>
    <w:rsid w:val="00B243FA"/>
    <w:rsid w:val="00B26A5E"/>
    <w:rsid w:val="00B30786"/>
    <w:rsid w:val="00B329A6"/>
    <w:rsid w:val="00B34B3B"/>
    <w:rsid w:val="00B35262"/>
    <w:rsid w:val="00B35E3B"/>
    <w:rsid w:val="00B4302A"/>
    <w:rsid w:val="00B461D2"/>
    <w:rsid w:val="00B4785A"/>
    <w:rsid w:val="00B47AE5"/>
    <w:rsid w:val="00B5129B"/>
    <w:rsid w:val="00B52F5E"/>
    <w:rsid w:val="00B542C5"/>
    <w:rsid w:val="00B62304"/>
    <w:rsid w:val="00B706C3"/>
    <w:rsid w:val="00B71BF6"/>
    <w:rsid w:val="00B97F34"/>
    <w:rsid w:val="00BA0364"/>
    <w:rsid w:val="00BA0A93"/>
    <w:rsid w:val="00BA570D"/>
    <w:rsid w:val="00BB2BC2"/>
    <w:rsid w:val="00BB3873"/>
    <w:rsid w:val="00BB5A39"/>
    <w:rsid w:val="00BC4156"/>
    <w:rsid w:val="00BC69FE"/>
    <w:rsid w:val="00BD4D6D"/>
    <w:rsid w:val="00BD66E8"/>
    <w:rsid w:val="00BE2FD4"/>
    <w:rsid w:val="00BF35C9"/>
    <w:rsid w:val="00BF4538"/>
    <w:rsid w:val="00C01A88"/>
    <w:rsid w:val="00C06A31"/>
    <w:rsid w:val="00C10465"/>
    <w:rsid w:val="00C140E3"/>
    <w:rsid w:val="00C14615"/>
    <w:rsid w:val="00C2125A"/>
    <w:rsid w:val="00C23172"/>
    <w:rsid w:val="00C23D68"/>
    <w:rsid w:val="00C27BFC"/>
    <w:rsid w:val="00C346E2"/>
    <w:rsid w:val="00C35C78"/>
    <w:rsid w:val="00C417DF"/>
    <w:rsid w:val="00C47C5C"/>
    <w:rsid w:val="00C50239"/>
    <w:rsid w:val="00C51020"/>
    <w:rsid w:val="00C543D3"/>
    <w:rsid w:val="00C611E5"/>
    <w:rsid w:val="00C618CE"/>
    <w:rsid w:val="00C61DF8"/>
    <w:rsid w:val="00C6343F"/>
    <w:rsid w:val="00C659CD"/>
    <w:rsid w:val="00C66E80"/>
    <w:rsid w:val="00C73AC2"/>
    <w:rsid w:val="00C75058"/>
    <w:rsid w:val="00C758D5"/>
    <w:rsid w:val="00C75CD3"/>
    <w:rsid w:val="00C87A63"/>
    <w:rsid w:val="00C90F5C"/>
    <w:rsid w:val="00C9367A"/>
    <w:rsid w:val="00C946A9"/>
    <w:rsid w:val="00C971F2"/>
    <w:rsid w:val="00C97AB9"/>
    <w:rsid w:val="00CA0422"/>
    <w:rsid w:val="00CA0AA4"/>
    <w:rsid w:val="00CA2FB2"/>
    <w:rsid w:val="00CB5CE3"/>
    <w:rsid w:val="00CD03F3"/>
    <w:rsid w:val="00CD0EF8"/>
    <w:rsid w:val="00CD383D"/>
    <w:rsid w:val="00CD5D0E"/>
    <w:rsid w:val="00CD7AB6"/>
    <w:rsid w:val="00CD7EF8"/>
    <w:rsid w:val="00CE0BA4"/>
    <w:rsid w:val="00CE3AE6"/>
    <w:rsid w:val="00CE4A32"/>
    <w:rsid w:val="00CE7697"/>
    <w:rsid w:val="00CF0411"/>
    <w:rsid w:val="00CF38AA"/>
    <w:rsid w:val="00CF7300"/>
    <w:rsid w:val="00CF7892"/>
    <w:rsid w:val="00D02537"/>
    <w:rsid w:val="00D05A98"/>
    <w:rsid w:val="00D10EF1"/>
    <w:rsid w:val="00D1377B"/>
    <w:rsid w:val="00D14E8E"/>
    <w:rsid w:val="00D155D4"/>
    <w:rsid w:val="00D17A37"/>
    <w:rsid w:val="00D20902"/>
    <w:rsid w:val="00D21056"/>
    <w:rsid w:val="00D261E6"/>
    <w:rsid w:val="00D265BD"/>
    <w:rsid w:val="00D35219"/>
    <w:rsid w:val="00D44BC7"/>
    <w:rsid w:val="00D5046E"/>
    <w:rsid w:val="00D519CB"/>
    <w:rsid w:val="00D53488"/>
    <w:rsid w:val="00D54FBD"/>
    <w:rsid w:val="00D57248"/>
    <w:rsid w:val="00D57A2E"/>
    <w:rsid w:val="00D60BAE"/>
    <w:rsid w:val="00D613F1"/>
    <w:rsid w:val="00D6171B"/>
    <w:rsid w:val="00D73262"/>
    <w:rsid w:val="00D7333B"/>
    <w:rsid w:val="00D74DE0"/>
    <w:rsid w:val="00D76096"/>
    <w:rsid w:val="00D76C7C"/>
    <w:rsid w:val="00D849AF"/>
    <w:rsid w:val="00D95F1D"/>
    <w:rsid w:val="00D97E04"/>
    <w:rsid w:val="00DA0529"/>
    <w:rsid w:val="00DA0C7D"/>
    <w:rsid w:val="00DA5B96"/>
    <w:rsid w:val="00DB2BC2"/>
    <w:rsid w:val="00DB4D5A"/>
    <w:rsid w:val="00DB6E5F"/>
    <w:rsid w:val="00DC0C8F"/>
    <w:rsid w:val="00DC6DE7"/>
    <w:rsid w:val="00DC7037"/>
    <w:rsid w:val="00DC7AAE"/>
    <w:rsid w:val="00DD0A44"/>
    <w:rsid w:val="00DD2050"/>
    <w:rsid w:val="00DD4927"/>
    <w:rsid w:val="00DE2395"/>
    <w:rsid w:val="00DF293A"/>
    <w:rsid w:val="00E01E96"/>
    <w:rsid w:val="00E11A83"/>
    <w:rsid w:val="00E1792E"/>
    <w:rsid w:val="00E216A3"/>
    <w:rsid w:val="00E23B72"/>
    <w:rsid w:val="00E2440F"/>
    <w:rsid w:val="00E244C8"/>
    <w:rsid w:val="00E24E6E"/>
    <w:rsid w:val="00E25372"/>
    <w:rsid w:val="00E3074E"/>
    <w:rsid w:val="00E321A1"/>
    <w:rsid w:val="00E446E0"/>
    <w:rsid w:val="00E527E6"/>
    <w:rsid w:val="00E537B8"/>
    <w:rsid w:val="00E54B1B"/>
    <w:rsid w:val="00E66EB5"/>
    <w:rsid w:val="00E73ED3"/>
    <w:rsid w:val="00E74DAD"/>
    <w:rsid w:val="00E8281E"/>
    <w:rsid w:val="00E83547"/>
    <w:rsid w:val="00E91BB5"/>
    <w:rsid w:val="00E9263A"/>
    <w:rsid w:val="00E9470A"/>
    <w:rsid w:val="00E96080"/>
    <w:rsid w:val="00EA1B06"/>
    <w:rsid w:val="00EA6917"/>
    <w:rsid w:val="00EB2DEE"/>
    <w:rsid w:val="00EC036F"/>
    <w:rsid w:val="00EC11C5"/>
    <w:rsid w:val="00EC5A59"/>
    <w:rsid w:val="00ED2685"/>
    <w:rsid w:val="00ED383B"/>
    <w:rsid w:val="00ED50D7"/>
    <w:rsid w:val="00ED57EC"/>
    <w:rsid w:val="00EE2C87"/>
    <w:rsid w:val="00EE3E13"/>
    <w:rsid w:val="00F11CF4"/>
    <w:rsid w:val="00F14D0A"/>
    <w:rsid w:val="00F20E25"/>
    <w:rsid w:val="00F33C75"/>
    <w:rsid w:val="00F35F5C"/>
    <w:rsid w:val="00F37207"/>
    <w:rsid w:val="00F372DB"/>
    <w:rsid w:val="00F4133F"/>
    <w:rsid w:val="00F44420"/>
    <w:rsid w:val="00F46B2B"/>
    <w:rsid w:val="00F46EE6"/>
    <w:rsid w:val="00F515BE"/>
    <w:rsid w:val="00F51A31"/>
    <w:rsid w:val="00F53558"/>
    <w:rsid w:val="00F5752E"/>
    <w:rsid w:val="00F63DA1"/>
    <w:rsid w:val="00F70C37"/>
    <w:rsid w:val="00F73377"/>
    <w:rsid w:val="00F73784"/>
    <w:rsid w:val="00F74DB1"/>
    <w:rsid w:val="00F81B2B"/>
    <w:rsid w:val="00F82C8F"/>
    <w:rsid w:val="00F85878"/>
    <w:rsid w:val="00F974EB"/>
    <w:rsid w:val="00FA17CA"/>
    <w:rsid w:val="00FC04B4"/>
    <w:rsid w:val="00FC3368"/>
    <w:rsid w:val="00FD38A2"/>
    <w:rsid w:val="00FD3F37"/>
    <w:rsid w:val="00FE37A9"/>
    <w:rsid w:val="00FE6223"/>
    <w:rsid w:val="00FE7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E68F04"/>
  <w15:docId w15:val="{D8316C27-8C87-4073-B868-2A01E12A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2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801"/>
    <w:pPr>
      <w:ind w:left="720"/>
      <w:contextualSpacing/>
    </w:pPr>
  </w:style>
  <w:style w:type="paragraph" w:styleId="BalloonText">
    <w:name w:val="Balloon Text"/>
    <w:basedOn w:val="Normal"/>
    <w:link w:val="BalloonTextChar"/>
    <w:uiPriority w:val="99"/>
    <w:semiHidden/>
    <w:unhideWhenUsed/>
    <w:rsid w:val="00A64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9EC"/>
    <w:rPr>
      <w:rFonts w:ascii="Segoe UI" w:hAnsi="Segoe UI" w:cs="Segoe UI"/>
      <w:sz w:val="18"/>
      <w:szCs w:val="18"/>
    </w:rPr>
  </w:style>
  <w:style w:type="paragraph" w:customStyle="1" w:styleId="Default">
    <w:name w:val="Default"/>
    <w:rsid w:val="00127CC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E5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608"/>
  </w:style>
  <w:style w:type="paragraph" w:styleId="Footer">
    <w:name w:val="footer"/>
    <w:basedOn w:val="Normal"/>
    <w:link w:val="FooterChar"/>
    <w:uiPriority w:val="99"/>
    <w:unhideWhenUsed/>
    <w:rsid w:val="008E5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608"/>
  </w:style>
  <w:style w:type="paragraph" w:styleId="NoSpacing">
    <w:name w:val="No Spacing"/>
    <w:uiPriority w:val="1"/>
    <w:qFormat/>
    <w:rsid w:val="00B542C5"/>
    <w:pPr>
      <w:spacing w:after="0" w:line="240" w:lineRule="auto"/>
    </w:pPr>
  </w:style>
  <w:style w:type="character" w:styleId="Hyperlink">
    <w:name w:val="Hyperlink"/>
    <w:basedOn w:val="DefaultParagraphFont"/>
    <w:uiPriority w:val="99"/>
    <w:unhideWhenUsed/>
    <w:rsid w:val="00287075"/>
    <w:rPr>
      <w:color w:val="0000FF"/>
      <w:u w:val="single"/>
    </w:rPr>
  </w:style>
  <w:style w:type="character" w:styleId="FollowedHyperlink">
    <w:name w:val="FollowedHyperlink"/>
    <w:basedOn w:val="DefaultParagraphFont"/>
    <w:uiPriority w:val="99"/>
    <w:semiHidden/>
    <w:unhideWhenUsed/>
    <w:rsid w:val="00B307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115525">
      <w:bodyDiv w:val="1"/>
      <w:marLeft w:val="0"/>
      <w:marRight w:val="0"/>
      <w:marTop w:val="0"/>
      <w:marBottom w:val="0"/>
      <w:divBdr>
        <w:top w:val="none" w:sz="0" w:space="0" w:color="auto"/>
        <w:left w:val="none" w:sz="0" w:space="0" w:color="auto"/>
        <w:bottom w:val="none" w:sz="0" w:space="0" w:color="auto"/>
        <w:right w:val="none" w:sz="0" w:space="0" w:color="auto"/>
      </w:divBdr>
    </w:div>
    <w:div w:id="1371371446">
      <w:bodyDiv w:val="1"/>
      <w:marLeft w:val="0"/>
      <w:marRight w:val="0"/>
      <w:marTop w:val="0"/>
      <w:marBottom w:val="0"/>
      <w:divBdr>
        <w:top w:val="none" w:sz="0" w:space="0" w:color="auto"/>
        <w:left w:val="none" w:sz="0" w:space="0" w:color="auto"/>
        <w:bottom w:val="none" w:sz="0" w:space="0" w:color="auto"/>
        <w:right w:val="none" w:sz="0" w:space="0" w:color="auto"/>
      </w:divBdr>
    </w:div>
    <w:div w:id="1528444214">
      <w:bodyDiv w:val="1"/>
      <w:marLeft w:val="0"/>
      <w:marRight w:val="0"/>
      <w:marTop w:val="0"/>
      <w:marBottom w:val="0"/>
      <w:divBdr>
        <w:top w:val="none" w:sz="0" w:space="0" w:color="auto"/>
        <w:left w:val="none" w:sz="0" w:space="0" w:color="auto"/>
        <w:bottom w:val="none" w:sz="0" w:space="0" w:color="auto"/>
        <w:right w:val="none" w:sz="0" w:space="0" w:color="auto"/>
      </w:divBdr>
      <w:divsChild>
        <w:div w:id="858658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05455">
              <w:marLeft w:val="0"/>
              <w:marRight w:val="0"/>
              <w:marTop w:val="0"/>
              <w:marBottom w:val="0"/>
              <w:divBdr>
                <w:top w:val="none" w:sz="0" w:space="0" w:color="auto"/>
                <w:left w:val="none" w:sz="0" w:space="0" w:color="auto"/>
                <w:bottom w:val="none" w:sz="0" w:space="0" w:color="auto"/>
                <w:right w:val="none" w:sz="0" w:space="0" w:color="auto"/>
              </w:divBdr>
              <w:divsChild>
                <w:div w:id="641234962">
                  <w:marLeft w:val="0"/>
                  <w:marRight w:val="0"/>
                  <w:marTop w:val="0"/>
                  <w:marBottom w:val="0"/>
                  <w:divBdr>
                    <w:top w:val="none" w:sz="0" w:space="0" w:color="auto"/>
                    <w:left w:val="none" w:sz="0" w:space="0" w:color="auto"/>
                    <w:bottom w:val="none" w:sz="0" w:space="0" w:color="auto"/>
                    <w:right w:val="none" w:sz="0" w:space="0" w:color="auto"/>
                  </w:divBdr>
                  <w:divsChild>
                    <w:div w:id="166675640">
                      <w:marLeft w:val="0"/>
                      <w:marRight w:val="0"/>
                      <w:marTop w:val="0"/>
                      <w:marBottom w:val="0"/>
                      <w:divBdr>
                        <w:top w:val="none" w:sz="0" w:space="0" w:color="auto"/>
                        <w:left w:val="none" w:sz="0" w:space="0" w:color="auto"/>
                        <w:bottom w:val="none" w:sz="0" w:space="0" w:color="auto"/>
                        <w:right w:val="none" w:sz="0" w:space="0" w:color="auto"/>
                      </w:divBdr>
                    </w:div>
                    <w:div w:id="1890221824">
                      <w:marLeft w:val="0"/>
                      <w:marRight w:val="0"/>
                      <w:marTop w:val="0"/>
                      <w:marBottom w:val="0"/>
                      <w:divBdr>
                        <w:top w:val="none" w:sz="0" w:space="0" w:color="auto"/>
                        <w:left w:val="none" w:sz="0" w:space="0" w:color="auto"/>
                        <w:bottom w:val="none" w:sz="0" w:space="0" w:color="auto"/>
                        <w:right w:val="none" w:sz="0" w:space="0" w:color="auto"/>
                      </w:divBdr>
                    </w:div>
                    <w:div w:id="166744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holybrookacademy.co.uk/wp-content/uploads/2018/10/Accessibility-Plan-HB.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localoffer.bradford.gov.uk/" TargetMode="External"/><Relationship Id="rId2" Type="http://schemas.openxmlformats.org/officeDocument/2006/relationships/numbering" Target="numbering.xml"/><Relationship Id="rId16" Type="http://schemas.openxmlformats.org/officeDocument/2006/relationships/hyperlink" Target="https://holybrookacademy.co.uk/send-local-off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lybrookacademy.co.uk/send-local-offer/"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chart" Target="charts/chart1.xml"/><Relationship Id="rId19" Type="http://schemas.openxmlformats.org/officeDocument/2006/relationships/hyperlink" Target="mailto:office@holybrookacademy.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Categories of SEND in June 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explosion val="13"/>
            <c:spPr>
              <a:solidFill>
                <a:schemeClr val="accent1"/>
              </a:solidFill>
              <a:ln w="19050">
                <a:solidFill>
                  <a:schemeClr val="lt1"/>
                </a:solidFill>
              </a:ln>
              <a:effectLst/>
            </c:spPr>
            <c:extLst>
              <c:ext xmlns:c16="http://schemas.microsoft.com/office/drawing/2014/chart" uri="{C3380CC4-5D6E-409C-BE32-E72D297353CC}">
                <c16:uniqueId val="{00000001-C69B-4E7D-AFDF-E4D60130F13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69B-4E7D-AFDF-E4D60130F13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69B-4E7D-AFDF-E4D60130F13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69B-4E7D-AFDF-E4D60130F13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69B-4E7D-AFDF-E4D60130F13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69B-4E7D-AFDF-E4D60130F13C}"/>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C69B-4E7D-AFDF-E4D60130F13C}"/>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C69B-4E7D-AFDF-E4D60130F13C}"/>
              </c:ext>
            </c:extLst>
          </c:dPt>
          <c:cat>
            <c:strRef>
              <c:f>Sheet1!$C$4:$C$11</c:f>
              <c:strCache>
                <c:ptCount val="8"/>
                <c:pt idx="0">
                  <c:v>Moderate learning difficulties (MLD)</c:v>
                </c:pt>
                <c:pt idx="1">
                  <c:v>Social, Emotional, Mental Health difficulties (SEMH)</c:v>
                </c:pt>
                <c:pt idx="2">
                  <c:v>Speech, language or communication need</c:v>
                </c:pt>
                <c:pt idx="3">
                  <c:v>Physical difficulty</c:v>
                </c:pt>
                <c:pt idx="4">
                  <c:v>Visual Impairment</c:v>
                </c:pt>
                <c:pt idx="5">
                  <c:v>Hearing Impairment</c:v>
                </c:pt>
                <c:pt idx="6">
                  <c:v>Specific difficulty</c:v>
                </c:pt>
                <c:pt idx="7">
                  <c:v>Autistic spectrum disorder – diagnosed or undiagnosed</c:v>
                </c:pt>
              </c:strCache>
            </c:strRef>
          </c:cat>
          <c:val>
            <c:numRef>
              <c:f>Sheet1!$D$4:$D$11</c:f>
              <c:numCache>
                <c:formatCode>General</c:formatCode>
                <c:ptCount val="8"/>
                <c:pt idx="0">
                  <c:v>48</c:v>
                </c:pt>
                <c:pt idx="1">
                  <c:v>22</c:v>
                </c:pt>
                <c:pt idx="2">
                  <c:v>34</c:v>
                </c:pt>
                <c:pt idx="3">
                  <c:v>5</c:v>
                </c:pt>
                <c:pt idx="4">
                  <c:v>2</c:v>
                </c:pt>
                <c:pt idx="5">
                  <c:v>0</c:v>
                </c:pt>
                <c:pt idx="6">
                  <c:v>2</c:v>
                </c:pt>
                <c:pt idx="7">
                  <c:v>11</c:v>
                </c:pt>
              </c:numCache>
            </c:numRef>
          </c:val>
          <c:extLst>
            <c:ext xmlns:c16="http://schemas.microsoft.com/office/drawing/2014/chart" uri="{C3380CC4-5D6E-409C-BE32-E72D297353CC}">
              <c16:uniqueId val="{00000010-C69B-4E7D-AFDF-E4D60130F13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E3FFED-1B30-489A-A32A-4F35B47B7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2736</Words>
  <Characters>15599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joanna.jackson</dc:creator>
  <cp:lastModifiedBy>Joanna Jackson</cp:lastModifiedBy>
  <cp:revision>2</cp:revision>
  <cp:lastPrinted>2019-06-10T06:16:00Z</cp:lastPrinted>
  <dcterms:created xsi:type="dcterms:W3CDTF">2021-06-24T13:20:00Z</dcterms:created>
  <dcterms:modified xsi:type="dcterms:W3CDTF">2021-06-24T13:20:00Z</dcterms:modified>
</cp:coreProperties>
</file>